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942A357" w:rsidR="006B1DB6" w:rsidRDefault="00E11E93" w:rsidP="00824DE0">
      <w:pPr>
        <w:jc w:val="both"/>
      </w:pPr>
      <w:r>
        <w:rPr>
          <w:b/>
          <w:smallCaps/>
          <w:noProof/>
          <w:color w:val="174A7C"/>
          <w:sz w:val="32"/>
          <w:szCs w:val="32"/>
        </w:rPr>
        <w:drawing>
          <wp:anchor distT="0" distB="0" distL="114300" distR="114300" simplePos="0" relativeHeight="251664384" behindDoc="0" locked="0" layoutInCell="1" allowOverlap="1" wp14:anchorId="29C99F08" wp14:editId="307B2C49">
            <wp:simplePos x="0" y="0"/>
            <wp:positionH relativeFrom="column">
              <wp:posOffset>8255</wp:posOffset>
            </wp:positionH>
            <wp:positionV relativeFrom="paragraph">
              <wp:posOffset>8228965</wp:posOffset>
            </wp:positionV>
            <wp:extent cx="6400800" cy="584200"/>
            <wp:effectExtent l="0" t="0" r="0" b="0"/>
            <wp:wrapNone/>
            <wp:docPr id="1621980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980437" name="Picture 16219804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0" cy="584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2010A3E4" wp14:editId="0D3FB75A">
            <wp:simplePos x="0" y="0"/>
            <wp:positionH relativeFrom="column">
              <wp:posOffset>-230505</wp:posOffset>
            </wp:positionH>
            <wp:positionV relativeFrom="paragraph">
              <wp:posOffset>-469900</wp:posOffset>
            </wp:positionV>
            <wp:extent cx="6942455" cy="8171180"/>
            <wp:effectExtent l="0" t="0" r="4445" b="0"/>
            <wp:wrapNone/>
            <wp:docPr id="1599064118" name="image5.png"/>
            <wp:cNvGraphicFramePr/>
            <a:graphic xmlns:a="http://schemas.openxmlformats.org/drawingml/2006/main">
              <a:graphicData uri="http://schemas.openxmlformats.org/drawingml/2006/picture">
                <pic:pic xmlns:pic="http://schemas.openxmlformats.org/drawingml/2006/picture">
                  <pic:nvPicPr>
                    <pic:cNvPr id="1599064118" name="image5.png"/>
                    <pic:cNvPicPr preferRelativeResize="0"/>
                  </pic:nvPicPr>
                  <pic:blipFill>
                    <a:blip r:embed="rId12" cstate="print">
                      <a:alphaModFix amt="35000"/>
                      <a:extLst>
                        <a:ext uri="{28A0092B-C50C-407E-A947-70E740481C1C}">
                          <a14:useLocalDpi xmlns:a14="http://schemas.microsoft.com/office/drawing/2010/main" val="0"/>
                        </a:ext>
                      </a:extLst>
                    </a:blip>
                    <a:stretch>
                      <a:fillRect/>
                    </a:stretch>
                  </pic:blipFill>
                  <pic:spPr>
                    <a:xfrm>
                      <a:off x="0" y="0"/>
                      <a:ext cx="6942455" cy="817118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hidden="0" allowOverlap="1" wp14:anchorId="726C02E7" wp14:editId="7075185F">
                <wp:simplePos x="0" y="0"/>
                <wp:positionH relativeFrom="column">
                  <wp:posOffset>5234940</wp:posOffset>
                </wp:positionH>
                <wp:positionV relativeFrom="paragraph">
                  <wp:posOffset>-471170</wp:posOffset>
                </wp:positionV>
                <wp:extent cx="1470660" cy="1381125"/>
                <wp:effectExtent l="0" t="0" r="2540" b="3175"/>
                <wp:wrapNone/>
                <wp:docPr id="1599064114" name="Rectangle 1599064114"/>
                <wp:cNvGraphicFramePr/>
                <a:graphic xmlns:a="http://schemas.openxmlformats.org/drawingml/2006/main">
                  <a:graphicData uri="http://schemas.microsoft.com/office/word/2010/wordprocessingShape">
                    <wps:wsp>
                      <wps:cNvSpPr/>
                      <wps:spPr>
                        <a:xfrm>
                          <a:off x="0" y="0"/>
                          <a:ext cx="1470660" cy="1381125"/>
                        </a:xfrm>
                        <a:prstGeom prst="rect">
                          <a:avLst/>
                        </a:prstGeom>
                        <a:solidFill>
                          <a:schemeClr val="accent3"/>
                        </a:solidFill>
                        <a:ln>
                          <a:noFill/>
                        </a:ln>
                      </wps:spPr>
                      <wps:txbx>
                        <w:txbxContent>
                          <w:p w14:paraId="49BB28C8" w14:textId="77777777" w:rsidR="00E11E93" w:rsidRPr="003F2E92" w:rsidRDefault="00E11E93" w:rsidP="00E11E93">
                            <w:pPr>
                              <w:jc w:val="right"/>
                              <w:textDirection w:val="btLr"/>
                              <w:rPr>
                                <w:sz w:val="20"/>
                                <w:szCs w:val="20"/>
                              </w:rPr>
                            </w:pPr>
                            <w:r w:rsidRPr="003F2E92">
                              <w:rPr>
                                <w:rFonts w:eastAsia="Calibri"/>
                                <w:b/>
                                <w:color w:val="FFFFFF"/>
                                <w:sz w:val="40"/>
                                <w:szCs w:val="20"/>
                              </w:rPr>
                              <w:t>PLAN D’ACTION</w:t>
                            </w:r>
                          </w:p>
                        </w:txbxContent>
                      </wps:txbx>
                      <wps:bodyPr spcFirstLastPara="1" wrap="square" lIns="91425" tIns="45700" rIns="91425" bIns="45700" anchor="ctr" anchorCtr="0">
                        <a:noAutofit/>
                      </wps:bodyPr>
                    </wps:wsp>
                  </a:graphicData>
                </a:graphic>
              </wp:anchor>
            </w:drawing>
          </mc:Choice>
          <mc:Fallback>
            <w:pict>
              <v:rect w14:anchorId="726C02E7" id="Rectangle 1599064114" o:spid="_x0000_s1026" style="position:absolute;left:0;text-align:left;margin-left:412.2pt;margin-top:-37.1pt;width:115.8pt;height:10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5t+xgEAAH0DAAAOAAAAZHJzL2Uyb0RvYy54bWysU8Fu2zAMvQ/YPwi6L7bTNG2NOMXQIsOA&#10;YgvQ9QMUWY4FyJJGKrHz96NkN8m227CLLIrU03uP9Opx6Aw7KkDtbMWLWc6ZstLV2u4r/vZj8+me&#10;MwzC1sI4qyp+Usgf1x8/rHpfqrlrnakVMAKxWPa+4m0IvswylK3qBM6cV5aSjYNOBAphn9UgekLv&#10;TDbP82XWO6g9OKkQ6fR5TPJ1wm8aJcP3pkEVmKk4cQtphbTu4pqtV6Lcg/CtlhMN8Q8sOqEtPXqG&#10;ehZBsAPov6A6LcGha8JMui5zTaOlShpITZH/oea1FV4lLWQO+rNN+P9g5bfjq98C2dB7LJG2UcXQ&#10;QBe/xI8NyazT2Sw1BCbpsFjc5csleSopV9zcF8X8NtqZXa57wPBFuY7FTcWBupFMEscXDGPpe0l8&#10;DZ3R9UYbk4I4AerJADsK6p2QUtlwMz3wW6Wxsd66eHMEjSfZRU/chWE3TCJ3rj5tgaGXG028XgSG&#10;rQDqesFZT5NQcfx5EKA4M18tWf1QLEgZCylY3N7lpBmuM7vrjLCydTRgMgBnY/AU0sCNLD8fgmt0&#10;Uh95jWQmutTj5N80j3GIruNUdflr1r8AAAD//wMAUEsDBBQABgAIAAAAIQCurT+x4gAAAAwBAAAP&#10;AAAAZHJzL2Rvd25yZXYueG1sTI9BS8NAEIXvgv9hGcGLtBvTpJaYTZFCPIlgFMHbNjtmg9nZmN22&#10;8d87PelthnnvzffK7ewGccQp9J4U3C4TEEitNz11Ct5e68UGRIiajB48oYIfDLCtLi9KXRh/ohc8&#10;NrETHEKh0ApsjGMhZWgtOh2WfkTi26efnI68Tp00kz5xuBtkmiRr6XRP/MHqEXcW26/m4Bij3gXb&#10;183T/P6RO//9+HyTd6jU9dX8cA8i4hz/xHDGZw9UzLT3BzJBDAo2aZaxVMHiLktBnBVJvuZ6e56y&#10;1QpkVcr/JapfAAAA//8DAFBLAQItABQABgAIAAAAIQC2gziS/gAAAOEBAAATAAAAAAAAAAAAAAAA&#10;AAAAAABbQ29udGVudF9UeXBlc10ueG1sUEsBAi0AFAAGAAgAAAAhADj9If/WAAAAlAEAAAsAAAAA&#10;AAAAAAAAAAAALwEAAF9yZWxzLy5yZWxzUEsBAi0AFAAGAAgAAAAhAI1jm37GAQAAfQMAAA4AAAAA&#10;AAAAAAAAAAAALgIAAGRycy9lMm9Eb2MueG1sUEsBAi0AFAAGAAgAAAAhAK6tP7HiAAAADAEAAA8A&#10;AAAAAAAAAAAAAAAAIAQAAGRycy9kb3ducmV2LnhtbFBLBQYAAAAABAAEAPMAAAAvBQAAAAA=&#10;" fillcolor="#30aeb3 [3206]" stroked="f">
                <v:textbox inset="2.53958mm,1.2694mm,2.53958mm,1.2694mm">
                  <w:txbxContent>
                    <w:p w14:paraId="49BB28C8" w14:textId="77777777" w:rsidR="00E11E93" w:rsidRPr="003F2E92" w:rsidRDefault="00E11E93" w:rsidP="00E11E93">
                      <w:pPr>
                        <w:jc w:val="right"/>
                        <w:textDirection w:val="btLr"/>
                        <w:rPr>
                          <w:sz w:val="20"/>
                          <w:szCs w:val="20"/>
                        </w:rPr>
                      </w:pPr>
                      <w:r w:rsidRPr="003F2E92">
                        <w:rPr>
                          <w:rFonts w:eastAsia="Calibri"/>
                          <w:b/>
                          <w:color w:val="FFFFFF"/>
                          <w:sz w:val="40"/>
                          <w:szCs w:val="20"/>
                        </w:rPr>
                        <w:t>PLAN D’ACTION</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4EEE5617" wp14:editId="0AAB80B3">
                <wp:simplePos x="0" y="0"/>
                <wp:positionH relativeFrom="column">
                  <wp:posOffset>-233045</wp:posOffset>
                </wp:positionH>
                <wp:positionV relativeFrom="paragraph">
                  <wp:posOffset>904240</wp:posOffset>
                </wp:positionV>
                <wp:extent cx="5469255" cy="1967230"/>
                <wp:effectExtent l="0" t="0" r="4445" b="1270"/>
                <wp:wrapNone/>
                <wp:docPr id="1599064116" name="Rectangle 1599064116"/>
                <wp:cNvGraphicFramePr/>
                <a:graphic xmlns:a="http://schemas.openxmlformats.org/drawingml/2006/main">
                  <a:graphicData uri="http://schemas.microsoft.com/office/word/2010/wordprocessingShape">
                    <wps:wsp>
                      <wps:cNvSpPr/>
                      <wps:spPr>
                        <a:xfrm>
                          <a:off x="0" y="0"/>
                          <a:ext cx="5469255" cy="1967230"/>
                        </a:xfrm>
                        <a:prstGeom prst="rect">
                          <a:avLst/>
                        </a:prstGeom>
                        <a:solidFill>
                          <a:schemeClr val="tx2">
                            <a:alpha val="78000"/>
                          </a:schemeClr>
                        </a:solidFill>
                        <a:ln>
                          <a:noFill/>
                        </a:ln>
                      </wps:spPr>
                      <wps:txbx>
                        <w:txbxContent>
                          <w:p w14:paraId="7FF088C0" w14:textId="77777777" w:rsidR="00E11E93" w:rsidRDefault="00E11E93" w:rsidP="00E11E93">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4EEE5617" id="Rectangle 1599064116" o:spid="_x0000_s1027" style="position:absolute;left:0;text-align:left;margin-left:-18.35pt;margin-top:71.2pt;width:430.65pt;height:15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hMb2AEAAKMDAAAOAAAAZHJzL2Uyb0RvYy54bWysU9uO2yAQfa/Uf0C8N740l00UZ1XtKlWl&#10;VRtp2w8gGMdIGOgMiZ2/74CzSdq+VX3BzAycOXM4Xj8OnWEnBaidrXgxyTlTVrpa20PFf3zffnjg&#10;DIOwtTDOqoqfFfLHzft3696vVOlaZ2oFjEAsrnpf8TYEv8oylK3qBE6cV5aKjYNOBArhkNUgekLv&#10;TFbm+TzrHdQenFSIlH0ei3yT8JtGyfCtaVAFZipO3EJaIa37uGabtVgdQPhWywsN8Q8sOqEtNb1C&#10;PYsg2BH0X1CdluDQNWEiXZe5ptFSpRlomiL/Y5rXVniVZiFx0F9lwv8HK7+eXv0OSIbe4wppG6cY&#10;Gujil/ixIYl1voqlhsAkJWfT+bKczTiTVCuW80X5McmZ3a57wPBZuY7FTcWBXiOJJE4vGKglHX07&#10;EruhM7reamNSEB2gngywk6C3C0M5XjW+FWNq8ZDnbx2TX+LpBPobkLERzroIPPaMmew2btyFYT8w&#10;XdMg0RExs3f1eQcMvdxqYv8iMOwEkDcKznryS8Xx51GA4sx8sfQgy2JakhghBdPZgqgxuK/s7yvC&#10;ytaRDWUAzsbgKSRbjmQ/HYNrdNLoRubCmpyQpry4NlrtPk6nbv/W5hcAAAD//wMAUEsDBBQABgAI&#10;AAAAIQAgIl7w3wAAAAsBAAAPAAAAZHJzL2Rvd25yZXYueG1sTI/BTsMwEETvSPyDtUjcWgc3DSXE&#10;qRCCA0cKQhydeJuE2msrdtPA12NO5biap5m31Xa2hk04hsGRhJtlBgypdXqgTsL72/NiAyxERVoZ&#10;RyjhGwNs68uLSpXanegVp13sWCqhUCoJfYy+5Dy0PVoVls4jpWzvRqtiOseO61GdUrk1XGRZwa0a&#10;KC30yuNjj+1hd7QSGr3/fLpbH7RZ0fj1kU3+x6sXKa+v5od7YBHneIbhTz+pQ52cGnckHZiRsFgV&#10;twlNQS5yYInYiLwA1kjI10IAryv+/4f6FwAA//8DAFBLAQItABQABgAIAAAAIQC2gziS/gAAAOEB&#10;AAATAAAAAAAAAAAAAAAAAAAAAABbQ29udGVudF9UeXBlc10ueG1sUEsBAi0AFAAGAAgAAAAhADj9&#10;If/WAAAAlAEAAAsAAAAAAAAAAAAAAAAALwEAAF9yZWxzLy5yZWxzUEsBAi0AFAAGAAgAAAAhAPk6&#10;ExvYAQAAowMAAA4AAAAAAAAAAAAAAAAALgIAAGRycy9lMm9Eb2MueG1sUEsBAi0AFAAGAAgAAAAh&#10;ACAiXvDfAAAACwEAAA8AAAAAAAAAAAAAAAAAMgQAAGRycy9kb3ducmV2LnhtbFBLBQYAAAAABAAE&#10;APMAAAA+BQAAAAA=&#10;" fillcolor="#243a68 [3215]" stroked="f">
                <v:fill opacity="51143f"/>
                <v:textbox inset="2.53958mm,1.2694mm,2.53958mm,1.2694mm">
                  <w:txbxContent>
                    <w:p w14:paraId="7FF088C0" w14:textId="77777777" w:rsidR="00E11E93" w:rsidRDefault="00E11E93" w:rsidP="00E11E93">
                      <w:pPr>
                        <w:jc w:val="center"/>
                        <w:textDirection w:val="btLr"/>
                      </w:pPr>
                    </w:p>
                  </w:txbxContent>
                </v:textbox>
              </v:rect>
            </w:pict>
          </mc:Fallback>
        </mc:AlternateContent>
      </w:r>
      <w:sdt>
        <w:sdtPr>
          <w:tag w:val="goog_rdk_0"/>
          <w:id w:val="-349874703"/>
        </w:sdtPr>
        <w:sdtContent/>
      </w:sdt>
    </w:p>
    <w:p w14:paraId="00000002" w14:textId="77777777" w:rsidR="006B1DB6" w:rsidRDefault="006B1DB6" w:rsidP="00824DE0">
      <w:pPr>
        <w:jc w:val="both"/>
      </w:pPr>
    </w:p>
    <w:p w14:paraId="00000003" w14:textId="77777777" w:rsidR="006B1DB6" w:rsidRDefault="006B1DB6" w:rsidP="00824DE0">
      <w:pPr>
        <w:jc w:val="both"/>
      </w:pPr>
    </w:p>
    <w:p w14:paraId="00000004" w14:textId="77777777" w:rsidR="006B1DB6" w:rsidRDefault="006B1DB6" w:rsidP="00824DE0">
      <w:pPr>
        <w:jc w:val="both"/>
      </w:pPr>
    </w:p>
    <w:p w14:paraId="00000005" w14:textId="77777777" w:rsidR="006B1DB6" w:rsidRDefault="006B1DB6" w:rsidP="00824DE0">
      <w:pPr>
        <w:jc w:val="both"/>
      </w:pPr>
    </w:p>
    <w:p w14:paraId="00000006" w14:textId="77777777" w:rsidR="006B1DB6" w:rsidRDefault="006B1DB6" w:rsidP="00824DE0">
      <w:pPr>
        <w:jc w:val="both"/>
      </w:pPr>
    </w:p>
    <w:p w14:paraId="00000007" w14:textId="2F18D1FE" w:rsidR="006B1DB6" w:rsidRDefault="00E11E93" w:rsidP="00824DE0">
      <w:pPr>
        <w:jc w:val="both"/>
      </w:pPr>
      <w:r>
        <w:rPr>
          <w:noProof/>
        </w:rPr>
        <mc:AlternateContent>
          <mc:Choice Requires="wps">
            <w:drawing>
              <wp:anchor distT="0" distB="0" distL="114300" distR="114300" simplePos="0" relativeHeight="251665408" behindDoc="0" locked="0" layoutInCell="1" hidden="0" allowOverlap="1" wp14:anchorId="3EF0D35E" wp14:editId="195C9BE1">
                <wp:simplePos x="0" y="0"/>
                <wp:positionH relativeFrom="margin">
                  <wp:posOffset>-130100</wp:posOffset>
                </wp:positionH>
                <wp:positionV relativeFrom="page">
                  <wp:posOffset>2094230</wp:posOffset>
                </wp:positionV>
                <wp:extent cx="5081905" cy="1446535"/>
                <wp:effectExtent l="0" t="0" r="0" b="0"/>
                <wp:wrapNone/>
                <wp:docPr id="1599064117" name="Rectangle 1599064117"/>
                <wp:cNvGraphicFramePr/>
                <a:graphic xmlns:a="http://schemas.openxmlformats.org/drawingml/2006/main">
                  <a:graphicData uri="http://schemas.microsoft.com/office/word/2010/wordprocessingShape">
                    <wps:wsp>
                      <wps:cNvSpPr/>
                      <wps:spPr>
                        <a:xfrm>
                          <a:off x="0" y="0"/>
                          <a:ext cx="5081905" cy="1446535"/>
                        </a:xfrm>
                        <a:prstGeom prst="rect">
                          <a:avLst/>
                        </a:prstGeom>
                        <a:noFill/>
                        <a:ln>
                          <a:noFill/>
                        </a:ln>
                      </wps:spPr>
                      <wps:txbx>
                        <w:txbxContent>
                          <w:p w14:paraId="65C043AA" w14:textId="77777777" w:rsidR="006B1DB6" w:rsidRDefault="00844031">
                            <w:pPr>
                              <w:jc w:val="right"/>
                              <w:textDirection w:val="btLr"/>
                            </w:pPr>
                            <w:r>
                              <w:rPr>
                                <w:rFonts w:eastAsia="Calibri"/>
                                <w:b/>
                                <w:smallCaps/>
                                <w:color w:val="FFFFFF"/>
                                <w:sz w:val="60"/>
                              </w:rPr>
                              <w:t xml:space="preserve">DOCUMENT DE SUPPORT </w:t>
                            </w:r>
                            <w:r>
                              <w:rPr>
                                <w:rFonts w:eastAsia="Calibri"/>
                                <w:b/>
                                <w:smallCaps/>
                                <w:color w:val="FFFFFF"/>
                                <w:sz w:val="60"/>
                              </w:rPr>
                              <w:br/>
                              <w:t xml:space="preserve">AU PLAN D’ACTION </w:t>
                            </w:r>
                          </w:p>
                          <w:p w14:paraId="1BF0AC19" w14:textId="77777777" w:rsidR="006B1DB6" w:rsidRDefault="00844031">
                            <w:pPr>
                              <w:jc w:val="right"/>
                              <w:textDirection w:val="btLr"/>
                            </w:pPr>
                            <w:r>
                              <w:rPr>
                                <w:rFonts w:eastAsia="Calibri"/>
                                <w:b/>
                                <w:smallCaps/>
                                <w:color w:val="FFFFFF"/>
                                <w:sz w:val="60"/>
                              </w:rPr>
                              <w:t>ESPACES CLOS</w:t>
                            </w:r>
                          </w:p>
                        </w:txbxContent>
                      </wps:txbx>
                      <wps:bodyPr spcFirstLastPara="1" wrap="square" lIns="91425" tIns="45700" rIns="91425" bIns="45700" anchor="ctr" anchorCtr="0">
                        <a:noAutofit/>
                      </wps:bodyPr>
                    </wps:wsp>
                  </a:graphicData>
                </a:graphic>
              </wp:anchor>
            </w:drawing>
          </mc:Choice>
          <mc:Fallback>
            <w:pict>
              <v:rect w14:anchorId="3EF0D35E" id="Rectangle 1599064117" o:spid="_x0000_s1028" style="position:absolute;left:0;text-align:left;margin-left:-10.25pt;margin-top:164.9pt;width:400.15pt;height:113.9pt;z-index:251665408;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ZtQEAAFgDAAAOAAAAZHJzL2Uyb0RvYy54bWysU9uO0zAQfUfiHyy/0ySlWXajpivEqghp&#10;BZUWPsB17MZSfGHGbdK/Z+x22wJviBfXM+OeOefMZPk42YEdFKDxruXVrORMOek743Yt//F9/e6e&#10;M4zCdWLwTrX8qJA/rt6+WY6hUXPf+6FTwAjEYTOGlvcxhqYoUPbKCpz5oBwVtQcrIoWwKzoQI6Hb&#10;oZiX5V0xeugCeKkQKft0KvJVxtdayfhNa1SRDS0nbjGfkM9tOovVUjQ7EKE38kxD/AMLK4yjpheo&#10;JxEF24P5C8oaCR69jjPpbeG1NlJlDaSmKv9Q89KLoLIWMgfDxSb8f7Dy6+ElbIBsGAM2SNekYtJg&#10;0y/xY1M263gxS02RSUrW5X31UNacSapVi8Vd/b5OdhbXvwfA+Fl5y9Kl5UDTyCaJwzPG09PXJ6mb&#10;82szDHkig/stQZgpU1w5plucthMzXcvnqW/KbH133ADDINeGWj4LjBsBNNCKs5GG3HL8uRegOBu+&#10;OHLxoVrMSUHMwaL+UNKKwG1le1sRTvaedkdG4OwUfIp5l05kP+6j1yYLu5I5s6bxZWvOq5b24zbO&#10;r64fxOoXAAAA//8DAFBLAwQUAAYACAAAACEA87y/+eAAAAALAQAADwAAAGRycy9kb3ducmV2Lnht&#10;bEyPwU7DMAyG70i8Q2QkLmhL1tGVlqYTIHHhxlZp16zx2orEqZp0K29PdmI3W/70+/vL7WwNO+Po&#10;e0cSVksBDKlxuqdWQr3/XLwA80GRVsYRSvhFD9vq/q5UhXYX+sbzLrQshpAvlIQuhKHg3DcdWuWX&#10;bkCKt5MbrQpxHVuuR3WJ4dbwRIgNt6qn+KFTA3502PzsJivBHfrDszf5KV+v6j1/f5rEV41SPj7M&#10;b6/AAs7hH4arflSHKjod3UTaMyNhkYg0ohLWSR47RCLLrsNRQppmG+BVyW87VH8AAAD//wMAUEsB&#10;Ai0AFAAGAAgAAAAhALaDOJL+AAAA4QEAABMAAAAAAAAAAAAAAAAAAAAAAFtDb250ZW50X1R5cGVz&#10;XS54bWxQSwECLQAUAAYACAAAACEAOP0h/9YAAACUAQAACwAAAAAAAAAAAAAAAAAvAQAAX3JlbHMv&#10;LnJlbHNQSwECLQAUAAYACAAAACEAlP0aWbUBAABYAwAADgAAAAAAAAAAAAAAAAAuAgAAZHJzL2Uy&#10;b0RvYy54bWxQSwECLQAUAAYACAAAACEA87y/+eAAAAALAQAADwAAAAAAAAAAAAAAAAAPBAAAZHJz&#10;L2Rvd25yZXYueG1sUEsFBgAAAAAEAAQA8wAAABwFAAAAAA==&#10;" filled="f" stroked="f">
                <v:textbox inset="2.53958mm,1.2694mm,2.53958mm,1.2694mm">
                  <w:txbxContent>
                    <w:p w14:paraId="65C043AA" w14:textId="77777777" w:rsidR="006B1DB6" w:rsidRDefault="00844031">
                      <w:pPr>
                        <w:jc w:val="right"/>
                        <w:textDirection w:val="btLr"/>
                      </w:pPr>
                      <w:r>
                        <w:rPr>
                          <w:rFonts w:eastAsia="Calibri"/>
                          <w:b/>
                          <w:smallCaps/>
                          <w:color w:val="FFFFFF"/>
                          <w:sz w:val="60"/>
                        </w:rPr>
                        <w:t xml:space="preserve">DOCUMENT DE SUPPORT </w:t>
                      </w:r>
                      <w:r>
                        <w:rPr>
                          <w:rFonts w:eastAsia="Calibri"/>
                          <w:b/>
                          <w:smallCaps/>
                          <w:color w:val="FFFFFF"/>
                          <w:sz w:val="60"/>
                        </w:rPr>
                        <w:br/>
                        <w:t xml:space="preserve">AU PLAN D’ACTION </w:t>
                      </w:r>
                    </w:p>
                    <w:p w14:paraId="1BF0AC19" w14:textId="77777777" w:rsidR="006B1DB6" w:rsidRDefault="00844031">
                      <w:pPr>
                        <w:jc w:val="right"/>
                        <w:textDirection w:val="btLr"/>
                      </w:pPr>
                      <w:r>
                        <w:rPr>
                          <w:rFonts w:eastAsia="Calibri"/>
                          <w:b/>
                          <w:smallCaps/>
                          <w:color w:val="FFFFFF"/>
                          <w:sz w:val="60"/>
                        </w:rPr>
                        <w:t>ESPACES CLOS</w:t>
                      </w:r>
                    </w:p>
                  </w:txbxContent>
                </v:textbox>
                <w10:wrap anchorx="margin" anchory="page"/>
              </v:rect>
            </w:pict>
          </mc:Fallback>
        </mc:AlternateContent>
      </w:r>
    </w:p>
    <w:p w14:paraId="00000008" w14:textId="0C50E59E" w:rsidR="006B1DB6" w:rsidRDefault="006B1DB6" w:rsidP="00824DE0">
      <w:pPr>
        <w:jc w:val="both"/>
      </w:pPr>
    </w:p>
    <w:p w14:paraId="00000009" w14:textId="4C8108E9" w:rsidR="006B1DB6" w:rsidRDefault="00E11E93" w:rsidP="00824DE0">
      <w:pPr>
        <w:spacing w:after="160" w:line="259" w:lineRule="auto"/>
        <w:jc w:val="both"/>
        <w:rPr>
          <w:b/>
          <w:smallCaps/>
          <w:color w:val="174A7C"/>
          <w:sz w:val="32"/>
          <w:szCs w:val="32"/>
        </w:rPr>
      </w:pPr>
      <w:r>
        <w:rPr>
          <w:noProof/>
        </w:rPr>
        <mc:AlternateContent>
          <mc:Choice Requires="wps">
            <w:drawing>
              <wp:anchor distT="0" distB="0" distL="114300" distR="114300" simplePos="0" relativeHeight="251663360" behindDoc="0" locked="0" layoutInCell="1" hidden="0" allowOverlap="1" wp14:anchorId="0215878A" wp14:editId="51908061">
                <wp:simplePos x="0" y="0"/>
                <wp:positionH relativeFrom="column">
                  <wp:posOffset>-231140</wp:posOffset>
                </wp:positionH>
                <wp:positionV relativeFrom="paragraph">
                  <wp:posOffset>6321425</wp:posOffset>
                </wp:positionV>
                <wp:extent cx="6943725" cy="133350"/>
                <wp:effectExtent l="0" t="0" r="3175" b="6350"/>
                <wp:wrapNone/>
                <wp:docPr id="395815793" name="Rectangle 395815793"/>
                <wp:cNvGraphicFramePr/>
                <a:graphic xmlns:a="http://schemas.openxmlformats.org/drawingml/2006/main">
                  <a:graphicData uri="http://schemas.microsoft.com/office/word/2010/wordprocessingShape">
                    <wps:wsp>
                      <wps:cNvSpPr/>
                      <wps:spPr>
                        <a:xfrm>
                          <a:off x="0" y="0"/>
                          <a:ext cx="6943725" cy="133350"/>
                        </a:xfrm>
                        <a:prstGeom prst="rect">
                          <a:avLst/>
                        </a:prstGeom>
                        <a:solidFill>
                          <a:schemeClr val="accent3"/>
                        </a:solidFill>
                        <a:ln>
                          <a:noFill/>
                        </a:ln>
                      </wps:spPr>
                      <wps:txbx>
                        <w:txbxContent>
                          <w:p w14:paraId="3ECFFABD" w14:textId="77777777" w:rsidR="00E11E93" w:rsidRPr="003F2E92" w:rsidRDefault="00E11E93" w:rsidP="00E11E93">
                            <w:pPr>
                              <w:jc w:val="center"/>
                              <w:textDirection w:val="btLr"/>
                              <w:rPr>
                                <w:color w:val="FFFFFF" w:themeColor="background1"/>
                                <w14:textFill>
                                  <w14:noFill/>
                                </w14:textFill>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215878A" id="Rectangle 395815793" o:spid="_x0000_s1029" style="position:absolute;left:0;text-align:left;margin-left:-18.2pt;margin-top:497.75pt;width:546.7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llTyQEAAIMDAAAOAAAAZHJzL2Uyb0RvYy54bWysU9uO2jAQfa/Uf7D8XpIQ2O0iwqraFVWl&#10;VYu07QcYxyaWHNudMST8fceGBdq+VX1xPFefc2ayfBx7yw4K0HjX8GpScqac9K1xu4b/+L7+8JEz&#10;jMK1wnqnGn5UyB9X798th7BQU9952ypg1MThYggN72IMi6JA2ale4MQH5SioPfQikgm7ogUxUPfe&#10;FtOyvCsGD20ALxUieZ9PQb7K/bVWMn7TGlVktuGELeYT8rlNZ7FaisUOROiMPMMQ/4CiF8bRo5dW&#10;zyIKtgfzV6veSPDodZxI3xdeayNV5kBsqvIPNq+dCCpzIXEwXGTC/9dWfj28hg2QDEPABdI1sRg1&#10;9OlL+NiYxTpexFJjZJKcdw+z+n4650xSrKrrep7VLK7VATB+Vr5n6dJwoGFkjcThBSO9SKlvKekx&#10;9Na0a2NtNtICqCcL7CBodEJK5WKdxkVVv2Val/KdT5WncPIUVzrpFsftyEzb8Nwieba+PW6AYZBr&#10;Q/BeBMaNAJp9xdlA+9Bw/LkXoDizXxwJ/lDNEtmYjdn8vqRtgtvI9jYinOw8rZmMwNnJeIp57U5g&#10;P+2j1yaLcAVzRk2TzizPW5lW6dbOWdd/Z/ULAAD//wMAUEsDBBQABgAIAAAAIQBB5PKM4gAAAA0B&#10;AAAPAAAAZHJzL2Rvd25yZXYueG1sTI/BTsMwDIbvSLxDZCQuaEsLpGOl6YQmlROaREGTuGWNaSoa&#10;pzTZVt6e9AQ3W/78+3OxmWzPTjj6zpGEdJkAQ2qc7qiV8P5WLR6A+aBIq94RSvhBD5vy8qJQuXZn&#10;esVTHVoWQ8jnSoIJYcg5941Bq/zSDUhx9ulGq0Jsx5brUZ1juO35bZJk3KqO4gWjBtwabL7qo40a&#10;1dabrqpfpv2HsO77eXcjWpTy+mp6egQWcAp/MMz6cQfK6HRwR9Ke9RIWd9l9RCWs10IAm4lErFJg&#10;h7lKMwG8LPj/L8pfAAAA//8DAFBLAQItABQABgAIAAAAIQC2gziS/gAAAOEBAAATAAAAAAAAAAAA&#10;AAAAAAAAAABbQ29udGVudF9UeXBlc10ueG1sUEsBAi0AFAAGAAgAAAAhADj9If/WAAAAlAEAAAsA&#10;AAAAAAAAAAAAAAAALwEAAF9yZWxzLy5yZWxzUEsBAi0AFAAGAAgAAAAhALUKWVPJAQAAgwMAAA4A&#10;AAAAAAAAAAAAAAAALgIAAGRycy9lMm9Eb2MueG1sUEsBAi0AFAAGAAgAAAAhAEHk8oziAAAADQEA&#10;AA8AAAAAAAAAAAAAAAAAIwQAAGRycy9kb3ducmV2LnhtbFBLBQYAAAAABAAEAPMAAAAyBQAAAAA=&#10;" fillcolor="#30aeb3 [3206]" stroked="f">
                <v:textbox inset="2.53958mm,1.2694mm,2.53958mm,1.2694mm">
                  <w:txbxContent>
                    <w:p w14:paraId="3ECFFABD" w14:textId="77777777" w:rsidR="00E11E93" w:rsidRPr="003F2E92" w:rsidRDefault="00E11E93" w:rsidP="00E11E93">
                      <w:pPr>
                        <w:jc w:val="center"/>
                        <w:textDirection w:val="btLr"/>
                        <w:rPr>
                          <w:color w:val="FFFFFF" w:themeColor="background1"/>
                          <w14:textFill>
                            <w14:noFill/>
                          </w14:textFill>
                        </w:rPr>
                      </w:pPr>
                    </w:p>
                  </w:txbxContent>
                </v:textbox>
              </v:rect>
            </w:pict>
          </mc:Fallback>
        </mc:AlternateContent>
      </w:r>
      <w:r w:rsidR="00844031">
        <w:br w:type="page"/>
      </w:r>
    </w:p>
    <w:p w14:paraId="0000000A" w14:textId="77777777" w:rsidR="006B1DB6" w:rsidRDefault="00844031" w:rsidP="00824DE0">
      <w:pPr>
        <w:spacing w:before="120" w:after="120"/>
        <w:jc w:val="both"/>
      </w:pPr>
      <w:r>
        <w:lastRenderedPageBreak/>
        <w:t>Ce document vise à expliquer chacune des étapes du « Plan d’action – programme de prévention spécifique aux espaces clos ». Des références à la règlementation ainsi qu’à plusieurs outils et documents complémentaires ont été ajoutées.</w:t>
      </w:r>
    </w:p>
    <w:p w14:paraId="0000000B" w14:textId="77777777" w:rsidR="006B1DB6" w:rsidRPr="00F05968" w:rsidRDefault="00844031" w:rsidP="00824DE0">
      <w:pPr>
        <w:spacing w:before="120" w:after="120"/>
        <w:jc w:val="both"/>
      </w:pPr>
      <w:r w:rsidRPr="00F05968">
        <w:t xml:space="preserve">Prendre note que le plan d’action s’appuie sur les dispositions du </w:t>
      </w:r>
      <w:sdt>
        <w:sdtPr>
          <w:tag w:val="goog_rdk_1"/>
          <w:id w:val="1051735387"/>
        </w:sdtPr>
        <w:sdtContent/>
      </w:sdt>
      <w:hyperlink r:id="rId13">
        <w:r w:rsidRPr="00F05968">
          <w:rPr>
            <w:color w:val="0000FF"/>
            <w:u w:val="single"/>
          </w:rPr>
          <w:t>Règlement sur la santé et la sécurité du travail</w:t>
        </w:r>
      </w:hyperlink>
      <w:r w:rsidRPr="00F05968">
        <w:t xml:space="preserve"> (RSST). Il ne couvre pas les travaux qui répondent à la définition d’un chantier de construction où le </w:t>
      </w:r>
      <w:sdt>
        <w:sdtPr>
          <w:tag w:val="goog_rdk_2"/>
          <w:id w:val="-1325428123"/>
        </w:sdtPr>
        <w:sdtContent/>
      </w:sdt>
      <w:hyperlink r:id="rId14">
        <w:r w:rsidRPr="00F05968">
          <w:rPr>
            <w:color w:val="0000FF"/>
            <w:u w:val="single"/>
          </w:rPr>
          <w:t>Code de sécurité pour les travaux de construction</w:t>
        </w:r>
      </w:hyperlink>
      <w:r w:rsidRPr="00F05968">
        <w:rPr>
          <w:color w:val="0000FF"/>
        </w:rPr>
        <w:t xml:space="preserve"> </w:t>
      </w:r>
      <w:r w:rsidRPr="00F05968">
        <w:t>(CSTC) s’applique.</w:t>
      </w:r>
    </w:p>
    <w:p w14:paraId="0000000C" w14:textId="77777777" w:rsidR="006B1DB6" w:rsidRDefault="00844031" w:rsidP="00824DE0">
      <w:pPr>
        <w:jc w:val="both"/>
      </w:pPr>
      <w:r w:rsidRPr="00F05968">
        <w:t>Les associations sectorielles paritaires (ASP) ont pour mission de faciliter la prise en charge de la prévention par le milieu, de développer et de promouvoir les moyens nécessaires pour protéger la santé, la sécurité et</w:t>
      </w:r>
      <w:r>
        <w:t xml:space="preserve"> l’intégrité physique et psychologique du personnel des secteurs d’activités qu’elles couvrent.</w:t>
      </w:r>
    </w:p>
    <w:p w14:paraId="0000000D" w14:textId="06D560B1" w:rsidR="006B1DB6" w:rsidRDefault="00844031" w:rsidP="00824DE0">
      <w:pPr>
        <w:spacing w:before="120"/>
        <w:jc w:val="both"/>
      </w:pPr>
      <w:r>
        <w:t xml:space="preserve">Une des valeurs fondamentales </w:t>
      </w:r>
      <w:sdt>
        <w:sdtPr>
          <w:tag w:val="goog_rdk_3"/>
          <w:id w:val="-1354096862"/>
        </w:sdtPr>
        <w:sdtContent>
          <w:r w:rsidR="00F05968">
            <w:t xml:space="preserve">à </w:t>
          </w:r>
        </w:sdtContent>
      </w:sdt>
      <w:r>
        <w:t xml:space="preserve">la réussite de cette mission est le paritarisme, qui se traduit par une volonté de faire appel à la participation active des travailleuses et des travailleurs ainsi que des employeurs, de même qu’à celle de leurs associations, pour l'atteinte d'objectifs communs en matière de prévention des lésions professionnelles. </w:t>
      </w:r>
    </w:p>
    <w:p w14:paraId="0000000E" w14:textId="77777777" w:rsidR="006B1DB6" w:rsidRDefault="00844031" w:rsidP="00824DE0">
      <w:pPr>
        <w:spacing w:before="120"/>
        <w:jc w:val="both"/>
      </w:pPr>
      <w:r>
        <w:t xml:space="preserve">La réalisation du « Plan </w:t>
      </w:r>
      <w:proofErr w:type="gramStart"/>
      <w:r>
        <w:t xml:space="preserve">d’action  </w:t>
      </w:r>
      <w:r>
        <w:rPr>
          <w:highlight w:val="white"/>
        </w:rPr>
        <w:t>–</w:t>
      </w:r>
      <w:proofErr w:type="gramEnd"/>
      <w:r>
        <w:t xml:space="preserve"> espaces clos » ne fait pas exception à cette valeur intégrée aux associations sectorielles paritaires. </w:t>
      </w:r>
    </w:p>
    <w:p w14:paraId="0000000F" w14:textId="77777777" w:rsidR="006B1DB6" w:rsidRDefault="006B1DB6" w:rsidP="00824DE0">
      <w:pPr>
        <w:jc w:val="both"/>
      </w:pPr>
    </w:p>
    <w:p w14:paraId="00000010" w14:textId="77777777" w:rsidR="006B1DB6" w:rsidRPr="00E11E93" w:rsidRDefault="00844031" w:rsidP="00824DE0">
      <w:pPr>
        <w:pStyle w:val="Titreniveau1"/>
        <w:jc w:val="both"/>
      </w:pPr>
      <w:r w:rsidRPr="00E11E93">
        <w:t>Documents complémentaires</w:t>
      </w:r>
    </w:p>
    <w:p w14:paraId="00000011" w14:textId="77777777" w:rsidR="006B1DB6" w:rsidRDefault="00844031" w:rsidP="00824DE0">
      <w:pPr>
        <w:numPr>
          <w:ilvl w:val="0"/>
          <w:numId w:val="23"/>
        </w:numPr>
        <w:pBdr>
          <w:top w:val="nil"/>
          <w:left w:val="nil"/>
          <w:bottom w:val="nil"/>
          <w:right w:val="nil"/>
          <w:between w:val="nil"/>
        </w:pBdr>
        <w:jc w:val="both"/>
      </w:pPr>
      <w:r>
        <w:rPr>
          <w:color w:val="000000"/>
        </w:rPr>
        <w:t xml:space="preserve">Plan d’action – programme de prévention spécifique aux espaces clos </w:t>
      </w:r>
    </w:p>
    <w:p w14:paraId="00000012" w14:textId="77777777" w:rsidR="006B1DB6" w:rsidRDefault="00844031" w:rsidP="00824DE0">
      <w:pPr>
        <w:numPr>
          <w:ilvl w:val="0"/>
          <w:numId w:val="23"/>
        </w:numPr>
        <w:pBdr>
          <w:top w:val="nil"/>
          <w:left w:val="nil"/>
          <w:bottom w:val="nil"/>
          <w:right w:val="nil"/>
          <w:between w:val="nil"/>
        </w:pBdr>
        <w:jc w:val="both"/>
      </w:pPr>
      <w:r>
        <w:rPr>
          <w:color w:val="000000"/>
        </w:rPr>
        <w:t>Autoévaluation – espaces clos</w:t>
      </w:r>
    </w:p>
    <w:p w14:paraId="00000013" w14:textId="77777777" w:rsidR="006B1DB6" w:rsidRDefault="00844031" w:rsidP="00824DE0">
      <w:pPr>
        <w:numPr>
          <w:ilvl w:val="0"/>
          <w:numId w:val="23"/>
        </w:numPr>
        <w:pBdr>
          <w:top w:val="nil"/>
          <w:left w:val="nil"/>
          <w:bottom w:val="nil"/>
          <w:right w:val="nil"/>
          <w:between w:val="nil"/>
        </w:pBdr>
        <w:jc w:val="both"/>
      </w:pPr>
      <w:r>
        <w:rPr>
          <w:color w:val="000000"/>
        </w:rPr>
        <w:t>Fiche « Qu’est-ce qu’un espace clos? »</w:t>
      </w:r>
    </w:p>
    <w:p w14:paraId="00000014" w14:textId="77777777" w:rsidR="006B1DB6" w:rsidRDefault="00844031" w:rsidP="00824DE0">
      <w:pPr>
        <w:numPr>
          <w:ilvl w:val="0"/>
          <w:numId w:val="23"/>
        </w:numPr>
        <w:pBdr>
          <w:top w:val="nil"/>
          <w:left w:val="nil"/>
          <w:bottom w:val="nil"/>
          <w:right w:val="nil"/>
          <w:between w:val="nil"/>
        </w:pBdr>
        <w:jc w:val="both"/>
      </w:pPr>
      <w:r>
        <w:rPr>
          <w:color w:val="000000"/>
        </w:rPr>
        <w:t>Fiche « Identification des espaces clos ou avec accès restreint »</w:t>
      </w:r>
    </w:p>
    <w:p w14:paraId="00000015" w14:textId="77777777" w:rsidR="006B1DB6" w:rsidRDefault="00844031" w:rsidP="00824DE0">
      <w:pPr>
        <w:numPr>
          <w:ilvl w:val="0"/>
          <w:numId w:val="23"/>
        </w:numPr>
        <w:pBdr>
          <w:top w:val="nil"/>
          <w:left w:val="nil"/>
          <w:bottom w:val="nil"/>
          <w:right w:val="nil"/>
          <w:between w:val="nil"/>
        </w:pBdr>
        <w:jc w:val="both"/>
      </w:pPr>
      <w:r>
        <w:rPr>
          <w:color w:val="000000"/>
        </w:rPr>
        <w:t xml:space="preserve">Affiche pour les espaces clos ou avec accès restreint (exemple à personnaliser) </w:t>
      </w:r>
    </w:p>
    <w:p w14:paraId="00000016" w14:textId="77777777" w:rsidR="006B1DB6" w:rsidRDefault="00844031" w:rsidP="00824DE0">
      <w:pPr>
        <w:numPr>
          <w:ilvl w:val="0"/>
          <w:numId w:val="23"/>
        </w:numPr>
        <w:pBdr>
          <w:top w:val="nil"/>
          <w:left w:val="nil"/>
          <w:bottom w:val="nil"/>
          <w:right w:val="nil"/>
          <w:between w:val="nil"/>
        </w:pBdr>
        <w:jc w:val="both"/>
      </w:pPr>
      <w:r>
        <w:rPr>
          <w:color w:val="000000"/>
        </w:rPr>
        <w:t xml:space="preserve">Fiche « Rôles et </w:t>
      </w:r>
      <w:r w:rsidRPr="00F05968">
        <w:rPr>
          <w:color w:val="000000"/>
        </w:rPr>
        <w:t>responsabilité – espaces clos »</w:t>
      </w:r>
    </w:p>
    <w:p w14:paraId="00000017" w14:textId="77777777" w:rsidR="006B1DB6" w:rsidRDefault="006B1DB6" w:rsidP="00824DE0">
      <w:pPr>
        <w:jc w:val="both"/>
      </w:pPr>
    </w:p>
    <w:p w14:paraId="00000019" w14:textId="77777777" w:rsidR="006B1DB6" w:rsidRDefault="006B1DB6" w:rsidP="00824DE0">
      <w:pPr>
        <w:spacing w:after="200"/>
        <w:jc w:val="both"/>
      </w:pPr>
    </w:p>
    <w:p w14:paraId="0000001A" w14:textId="77777777" w:rsidR="006B1DB6" w:rsidRDefault="00844031" w:rsidP="00824DE0">
      <w:pPr>
        <w:pBdr>
          <w:top w:val="single" w:sz="18" w:space="1" w:color="30AEB3" w:themeColor="accent3"/>
          <w:left w:val="single" w:sz="18" w:space="1" w:color="30AEB3" w:themeColor="accent3"/>
          <w:bottom w:val="single" w:sz="18" w:space="1" w:color="30AEB3" w:themeColor="accent3"/>
          <w:right w:val="single" w:sz="18" w:space="1" w:color="30AEB3" w:themeColor="accent3"/>
          <w:between w:val="nil"/>
        </w:pBdr>
        <w:shd w:val="clear" w:color="auto" w:fill="D2F1F3" w:themeFill="accent3" w:themeFillTint="33"/>
        <w:ind w:left="450" w:right="446"/>
        <w:jc w:val="both"/>
        <w:rPr>
          <w:i/>
          <w:color w:val="000000"/>
        </w:rPr>
      </w:pPr>
      <w:r>
        <w:rPr>
          <w:b/>
          <w:color w:val="000000"/>
        </w:rPr>
        <w:t>Nota :</w:t>
      </w:r>
      <w:r>
        <w:rPr>
          <w:i/>
          <w:color w:val="000000"/>
        </w:rPr>
        <w:t xml:space="preserve"> Bien que cette publication ait été élaborée avec soin, à partir de sources reconnues comme fiables et crédibles, le comité multi ASP-IRSST, ses administratrices et administrateurs, son personnel, les f</w:t>
      </w:r>
      <w:r>
        <w:rPr>
          <w:i/>
        </w:rPr>
        <w:t>ormatrices et</w:t>
      </w:r>
      <w:r>
        <w:rPr>
          <w:i/>
          <w:color w:val="000000"/>
        </w:rPr>
        <w:t xml:space="preserve"> formateurs associés ainsi que les personnes et organismes qui ont contribué à son élaboration n’exercent aucun contrôle sur votre utilisation des informations, conseils, directives, produits et/ou services qui y sont mentionnés et n’assument aucune responsabilité à l’égard de votre utilisation de ceux-ci. De plus, le contenu de cette publication pourrait avoir à être adapté dans la pratique, en tenant compte de certaines circonstances de lieu et de temps ainsi que du contexte général ou particulier dans lequel il est utilisé. </w:t>
      </w:r>
    </w:p>
    <w:p w14:paraId="0000001B" w14:textId="77777777" w:rsidR="006B1DB6" w:rsidRDefault="006B1DB6" w:rsidP="00824DE0">
      <w:pPr>
        <w:pBdr>
          <w:top w:val="single" w:sz="18" w:space="1" w:color="30AEB3" w:themeColor="accent3"/>
          <w:left w:val="single" w:sz="18" w:space="1" w:color="30AEB3" w:themeColor="accent3"/>
          <w:bottom w:val="single" w:sz="18" w:space="1" w:color="30AEB3" w:themeColor="accent3"/>
          <w:right w:val="single" w:sz="18" w:space="1" w:color="30AEB3" w:themeColor="accent3"/>
          <w:between w:val="nil"/>
        </w:pBdr>
        <w:shd w:val="clear" w:color="auto" w:fill="D2F1F3" w:themeFill="accent3" w:themeFillTint="33"/>
        <w:ind w:left="450" w:right="446"/>
        <w:jc w:val="both"/>
        <w:rPr>
          <w:i/>
          <w:color w:val="000000"/>
        </w:rPr>
      </w:pPr>
    </w:p>
    <w:p w14:paraId="0000001C" w14:textId="77777777" w:rsidR="006B1DB6" w:rsidRDefault="00844031" w:rsidP="00824DE0">
      <w:pPr>
        <w:pBdr>
          <w:top w:val="single" w:sz="18" w:space="1" w:color="30AEB3" w:themeColor="accent3"/>
          <w:left w:val="single" w:sz="18" w:space="1" w:color="30AEB3" w:themeColor="accent3"/>
          <w:bottom w:val="single" w:sz="18" w:space="1" w:color="30AEB3" w:themeColor="accent3"/>
          <w:right w:val="single" w:sz="18" w:space="1" w:color="30AEB3" w:themeColor="accent3"/>
          <w:between w:val="nil"/>
        </w:pBdr>
        <w:shd w:val="clear" w:color="auto" w:fill="D2F1F3" w:themeFill="accent3" w:themeFillTint="33"/>
        <w:ind w:left="450" w:right="446"/>
        <w:jc w:val="both"/>
        <w:rPr>
          <w:i/>
          <w:color w:val="000000"/>
        </w:rPr>
      </w:pPr>
      <w:r>
        <w:rPr>
          <w:i/>
          <w:color w:val="000000"/>
        </w:rPr>
        <w:t>Toute reproduction de cette publication ou d’un extrait de celle-ci doit être autorisée par écrit par le comité multi ASP-IRSST et porter la mention de sa source.</w:t>
      </w:r>
    </w:p>
    <w:p w14:paraId="0000001D" w14:textId="77777777" w:rsidR="006B1DB6" w:rsidRDefault="00844031" w:rsidP="00824DE0">
      <w:pPr>
        <w:spacing w:after="160" w:line="259" w:lineRule="auto"/>
        <w:jc w:val="both"/>
      </w:pPr>
      <w:r>
        <w:br w:type="page"/>
      </w:r>
    </w:p>
    <w:p w14:paraId="0000001E" w14:textId="77777777" w:rsidR="006B1DB6" w:rsidRDefault="00844031" w:rsidP="00F4051F">
      <w:pPr>
        <w:pStyle w:val="Titreniveau1"/>
        <w:numPr>
          <w:ilvl w:val="0"/>
          <w:numId w:val="0"/>
        </w:numPr>
        <w:jc w:val="both"/>
      </w:pPr>
      <w:r w:rsidRPr="00E11E93">
        <w:lastRenderedPageBreak/>
        <w:t>Table des matières</w:t>
      </w:r>
    </w:p>
    <w:sdt>
      <w:sdtPr>
        <w:rPr>
          <w:rFonts w:eastAsiaTheme="minorEastAsia" w:cs="Calibri"/>
          <w:b w:val="0"/>
          <w:bCs w:val="0"/>
          <w:caps w:val="0"/>
          <w:sz w:val="22"/>
          <w:szCs w:val="22"/>
        </w:rPr>
        <w:id w:val="1687486654"/>
        <w:docPartObj>
          <w:docPartGallery w:val="Table of Contents"/>
          <w:docPartUnique/>
        </w:docPartObj>
      </w:sdtPr>
      <w:sdtContent>
        <w:p w14:paraId="0823370A" w14:textId="77E9A07F" w:rsidR="0010365E" w:rsidRDefault="00844031">
          <w:pPr>
            <w:pStyle w:val="TM1"/>
            <w:rPr>
              <w:rFonts w:asciiTheme="minorHAnsi" w:eastAsiaTheme="minorEastAsia" w:hAnsiTheme="minorHAnsi" w:cstheme="minorBidi"/>
              <w:b w:val="0"/>
              <w:bCs w:val="0"/>
              <w:caps w:val="0"/>
              <w:noProof/>
              <w:sz w:val="24"/>
              <w:szCs w:val="24"/>
              <w:lang w:val="en-CA" w:eastAsia="en-US"/>
            </w:rPr>
          </w:pPr>
          <w:r>
            <w:fldChar w:fldCharType="begin"/>
          </w:r>
          <w:r>
            <w:instrText xml:space="preserve"> TOC \h \u \z \t "Heading 1,1,Heading 2,2,Heading 3,3,"</w:instrText>
          </w:r>
          <w:r>
            <w:fldChar w:fldCharType="separate"/>
          </w:r>
          <w:hyperlink w:anchor="_Toc143845822" w:history="1">
            <w:r w:rsidR="0010365E" w:rsidRPr="00E0467E">
              <w:rPr>
                <w:rStyle w:val="Lienhypertexte"/>
                <w:noProof/>
              </w:rPr>
              <w:t>1.</w:t>
            </w:r>
            <w:r w:rsidR="0010365E">
              <w:rPr>
                <w:rFonts w:asciiTheme="minorHAnsi" w:eastAsiaTheme="minorEastAsia" w:hAnsiTheme="minorHAnsi" w:cstheme="minorBidi"/>
                <w:b w:val="0"/>
                <w:bCs w:val="0"/>
                <w:caps w:val="0"/>
                <w:noProof/>
                <w:sz w:val="24"/>
                <w:szCs w:val="24"/>
                <w:lang w:val="en-CA" w:eastAsia="en-US"/>
              </w:rPr>
              <w:tab/>
            </w:r>
            <w:r w:rsidR="0010365E" w:rsidRPr="00E0467E">
              <w:rPr>
                <w:rStyle w:val="Lienhypertexte"/>
                <w:noProof/>
              </w:rPr>
              <w:t>COORDINATION</w:t>
            </w:r>
            <w:r w:rsidR="0010365E">
              <w:rPr>
                <w:noProof/>
                <w:webHidden/>
              </w:rPr>
              <w:tab/>
            </w:r>
            <w:r w:rsidR="0010365E">
              <w:rPr>
                <w:noProof/>
                <w:webHidden/>
              </w:rPr>
              <w:fldChar w:fldCharType="begin"/>
            </w:r>
            <w:r w:rsidR="0010365E">
              <w:rPr>
                <w:noProof/>
                <w:webHidden/>
              </w:rPr>
              <w:instrText xml:space="preserve"> PAGEREF _Toc143845822 \h </w:instrText>
            </w:r>
            <w:r w:rsidR="0010365E">
              <w:rPr>
                <w:noProof/>
                <w:webHidden/>
              </w:rPr>
            </w:r>
            <w:r w:rsidR="0010365E">
              <w:rPr>
                <w:noProof/>
                <w:webHidden/>
              </w:rPr>
              <w:fldChar w:fldCharType="separate"/>
            </w:r>
            <w:r w:rsidR="0010365E">
              <w:rPr>
                <w:noProof/>
                <w:webHidden/>
              </w:rPr>
              <w:t>4</w:t>
            </w:r>
            <w:r w:rsidR="0010365E">
              <w:rPr>
                <w:noProof/>
                <w:webHidden/>
              </w:rPr>
              <w:fldChar w:fldCharType="end"/>
            </w:r>
          </w:hyperlink>
        </w:p>
        <w:p w14:paraId="4A032890" w14:textId="56ECD65E" w:rsidR="0010365E" w:rsidRDefault="0010365E">
          <w:pPr>
            <w:pStyle w:val="TM1"/>
            <w:rPr>
              <w:rFonts w:asciiTheme="minorHAnsi" w:eastAsiaTheme="minorEastAsia" w:hAnsiTheme="minorHAnsi" w:cstheme="minorBidi"/>
              <w:b w:val="0"/>
              <w:bCs w:val="0"/>
              <w:caps w:val="0"/>
              <w:noProof/>
              <w:sz w:val="24"/>
              <w:szCs w:val="24"/>
              <w:lang w:val="en-CA" w:eastAsia="en-US"/>
            </w:rPr>
          </w:pPr>
          <w:hyperlink w:anchor="_Toc143845823" w:history="1">
            <w:r w:rsidRPr="00E0467E">
              <w:rPr>
                <w:rStyle w:val="Lienhypertexte"/>
                <w:noProof/>
              </w:rPr>
              <w:t>2.</w:t>
            </w:r>
            <w:r>
              <w:rPr>
                <w:rFonts w:asciiTheme="minorHAnsi" w:eastAsiaTheme="minorEastAsia" w:hAnsiTheme="minorHAnsi" w:cstheme="minorBidi"/>
                <w:b w:val="0"/>
                <w:bCs w:val="0"/>
                <w:caps w:val="0"/>
                <w:noProof/>
                <w:sz w:val="24"/>
                <w:szCs w:val="24"/>
                <w:lang w:val="en-CA" w:eastAsia="en-US"/>
              </w:rPr>
              <w:tab/>
            </w:r>
            <w:r w:rsidRPr="00E0467E">
              <w:rPr>
                <w:rStyle w:val="Lienhypertexte"/>
                <w:noProof/>
              </w:rPr>
              <w:t>AUTOÉVALUATION</w:t>
            </w:r>
            <w:r>
              <w:rPr>
                <w:noProof/>
                <w:webHidden/>
              </w:rPr>
              <w:tab/>
            </w:r>
            <w:r>
              <w:rPr>
                <w:noProof/>
                <w:webHidden/>
              </w:rPr>
              <w:fldChar w:fldCharType="begin"/>
            </w:r>
            <w:r>
              <w:rPr>
                <w:noProof/>
                <w:webHidden/>
              </w:rPr>
              <w:instrText xml:space="preserve"> PAGEREF _Toc143845823 \h </w:instrText>
            </w:r>
            <w:r>
              <w:rPr>
                <w:noProof/>
                <w:webHidden/>
              </w:rPr>
            </w:r>
            <w:r>
              <w:rPr>
                <w:noProof/>
                <w:webHidden/>
              </w:rPr>
              <w:fldChar w:fldCharType="separate"/>
            </w:r>
            <w:r>
              <w:rPr>
                <w:noProof/>
                <w:webHidden/>
              </w:rPr>
              <w:t>4</w:t>
            </w:r>
            <w:r>
              <w:rPr>
                <w:noProof/>
                <w:webHidden/>
              </w:rPr>
              <w:fldChar w:fldCharType="end"/>
            </w:r>
          </w:hyperlink>
        </w:p>
        <w:p w14:paraId="76380369" w14:textId="257CA00E" w:rsidR="0010365E" w:rsidRDefault="0010365E">
          <w:pPr>
            <w:pStyle w:val="TM1"/>
            <w:rPr>
              <w:rFonts w:asciiTheme="minorHAnsi" w:eastAsiaTheme="minorEastAsia" w:hAnsiTheme="minorHAnsi" w:cstheme="minorBidi"/>
              <w:b w:val="0"/>
              <w:bCs w:val="0"/>
              <w:caps w:val="0"/>
              <w:noProof/>
              <w:sz w:val="24"/>
              <w:szCs w:val="24"/>
              <w:lang w:val="en-CA" w:eastAsia="en-US"/>
            </w:rPr>
          </w:pPr>
          <w:hyperlink w:anchor="_Toc143845824" w:history="1">
            <w:r w:rsidRPr="00E0467E">
              <w:rPr>
                <w:rStyle w:val="Lienhypertexte"/>
                <w:noProof/>
              </w:rPr>
              <w:t>3.</w:t>
            </w:r>
            <w:r>
              <w:rPr>
                <w:rFonts w:asciiTheme="minorHAnsi" w:eastAsiaTheme="minorEastAsia" w:hAnsiTheme="minorHAnsi" w:cstheme="minorBidi"/>
                <w:b w:val="0"/>
                <w:bCs w:val="0"/>
                <w:caps w:val="0"/>
                <w:noProof/>
                <w:sz w:val="24"/>
                <w:szCs w:val="24"/>
                <w:lang w:val="en-CA" w:eastAsia="en-US"/>
              </w:rPr>
              <w:tab/>
            </w:r>
            <w:r w:rsidRPr="00E0467E">
              <w:rPr>
                <w:rStyle w:val="Lienhypertexte"/>
                <w:noProof/>
              </w:rPr>
              <w:t>COMITÉ DE TRAVAIL PARITAIRE</w:t>
            </w:r>
            <w:r>
              <w:rPr>
                <w:noProof/>
                <w:webHidden/>
              </w:rPr>
              <w:tab/>
            </w:r>
            <w:r>
              <w:rPr>
                <w:noProof/>
                <w:webHidden/>
              </w:rPr>
              <w:fldChar w:fldCharType="begin"/>
            </w:r>
            <w:r>
              <w:rPr>
                <w:noProof/>
                <w:webHidden/>
              </w:rPr>
              <w:instrText xml:space="preserve"> PAGEREF _Toc143845824 \h </w:instrText>
            </w:r>
            <w:r>
              <w:rPr>
                <w:noProof/>
                <w:webHidden/>
              </w:rPr>
            </w:r>
            <w:r>
              <w:rPr>
                <w:noProof/>
                <w:webHidden/>
              </w:rPr>
              <w:fldChar w:fldCharType="separate"/>
            </w:r>
            <w:r>
              <w:rPr>
                <w:noProof/>
                <w:webHidden/>
              </w:rPr>
              <w:t>4</w:t>
            </w:r>
            <w:r>
              <w:rPr>
                <w:noProof/>
                <w:webHidden/>
              </w:rPr>
              <w:fldChar w:fldCharType="end"/>
            </w:r>
          </w:hyperlink>
        </w:p>
        <w:p w14:paraId="5DE7D0F3" w14:textId="5579E58C" w:rsidR="0010365E" w:rsidRDefault="0010365E">
          <w:pPr>
            <w:pStyle w:val="TM2"/>
            <w:rPr>
              <w:rFonts w:asciiTheme="minorHAnsi" w:eastAsiaTheme="minorEastAsia" w:hAnsiTheme="minorHAnsi" w:cstheme="minorBidi"/>
              <w:smallCaps w:val="0"/>
              <w:noProof/>
              <w:sz w:val="24"/>
              <w:szCs w:val="24"/>
              <w:lang w:val="en-CA" w:eastAsia="en-US"/>
            </w:rPr>
          </w:pPr>
          <w:hyperlink w:anchor="_Toc143845825" w:history="1">
            <w:r w:rsidRPr="00E0467E">
              <w:rPr>
                <w:rStyle w:val="Lienhypertexte"/>
                <w:noProof/>
              </w:rPr>
              <w:t>3.1</w:t>
            </w:r>
            <w:r>
              <w:rPr>
                <w:rFonts w:asciiTheme="minorHAnsi" w:eastAsiaTheme="minorEastAsia" w:hAnsiTheme="minorHAnsi" w:cstheme="minorBidi"/>
                <w:smallCaps w:val="0"/>
                <w:noProof/>
                <w:sz w:val="24"/>
                <w:szCs w:val="24"/>
                <w:lang w:val="en-CA" w:eastAsia="en-US"/>
              </w:rPr>
              <w:tab/>
            </w:r>
            <w:r w:rsidRPr="00E0467E">
              <w:rPr>
                <w:rStyle w:val="Lienhypertexte"/>
                <w:noProof/>
              </w:rPr>
              <w:t>Créer un comité de travail paritaire</w:t>
            </w:r>
            <w:r>
              <w:rPr>
                <w:noProof/>
                <w:webHidden/>
              </w:rPr>
              <w:tab/>
            </w:r>
            <w:r>
              <w:rPr>
                <w:noProof/>
                <w:webHidden/>
              </w:rPr>
              <w:fldChar w:fldCharType="begin"/>
            </w:r>
            <w:r>
              <w:rPr>
                <w:noProof/>
                <w:webHidden/>
              </w:rPr>
              <w:instrText xml:space="preserve"> PAGEREF _Toc143845825 \h </w:instrText>
            </w:r>
            <w:r>
              <w:rPr>
                <w:noProof/>
                <w:webHidden/>
              </w:rPr>
            </w:r>
            <w:r>
              <w:rPr>
                <w:noProof/>
                <w:webHidden/>
              </w:rPr>
              <w:fldChar w:fldCharType="separate"/>
            </w:r>
            <w:r>
              <w:rPr>
                <w:noProof/>
                <w:webHidden/>
              </w:rPr>
              <w:t>4</w:t>
            </w:r>
            <w:r>
              <w:rPr>
                <w:noProof/>
                <w:webHidden/>
              </w:rPr>
              <w:fldChar w:fldCharType="end"/>
            </w:r>
          </w:hyperlink>
        </w:p>
        <w:p w14:paraId="2147D338" w14:textId="4B478A6E" w:rsidR="0010365E" w:rsidRDefault="0010365E">
          <w:pPr>
            <w:pStyle w:val="TM2"/>
            <w:rPr>
              <w:rFonts w:asciiTheme="minorHAnsi" w:eastAsiaTheme="minorEastAsia" w:hAnsiTheme="minorHAnsi" w:cstheme="minorBidi"/>
              <w:smallCaps w:val="0"/>
              <w:noProof/>
              <w:sz w:val="24"/>
              <w:szCs w:val="24"/>
              <w:lang w:val="en-CA" w:eastAsia="en-US"/>
            </w:rPr>
          </w:pPr>
          <w:hyperlink w:anchor="_Toc143845826" w:history="1">
            <w:r w:rsidRPr="00E0467E">
              <w:rPr>
                <w:rStyle w:val="Lienhypertexte"/>
                <w:noProof/>
              </w:rPr>
              <w:t>3.2</w:t>
            </w:r>
            <w:r>
              <w:rPr>
                <w:rFonts w:asciiTheme="minorHAnsi" w:eastAsiaTheme="minorEastAsia" w:hAnsiTheme="minorHAnsi" w:cstheme="minorBidi"/>
                <w:smallCaps w:val="0"/>
                <w:noProof/>
                <w:sz w:val="24"/>
                <w:szCs w:val="24"/>
                <w:lang w:val="en-CA" w:eastAsia="en-US"/>
              </w:rPr>
              <w:tab/>
            </w:r>
            <w:r w:rsidRPr="00E0467E">
              <w:rPr>
                <w:rStyle w:val="Lienhypertexte"/>
                <w:noProof/>
              </w:rPr>
              <w:t>Préciser les rôles et responsabilités des différent(e)s intervenant(e)s</w:t>
            </w:r>
            <w:r>
              <w:rPr>
                <w:noProof/>
                <w:webHidden/>
              </w:rPr>
              <w:tab/>
            </w:r>
            <w:r>
              <w:rPr>
                <w:noProof/>
                <w:webHidden/>
              </w:rPr>
              <w:fldChar w:fldCharType="begin"/>
            </w:r>
            <w:r>
              <w:rPr>
                <w:noProof/>
                <w:webHidden/>
              </w:rPr>
              <w:instrText xml:space="preserve"> PAGEREF _Toc143845826 \h </w:instrText>
            </w:r>
            <w:r>
              <w:rPr>
                <w:noProof/>
                <w:webHidden/>
              </w:rPr>
            </w:r>
            <w:r>
              <w:rPr>
                <w:noProof/>
                <w:webHidden/>
              </w:rPr>
              <w:fldChar w:fldCharType="separate"/>
            </w:r>
            <w:r>
              <w:rPr>
                <w:noProof/>
                <w:webHidden/>
              </w:rPr>
              <w:t>5</w:t>
            </w:r>
            <w:r>
              <w:rPr>
                <w:noProof/>
                <w:webHidden/>
              </w:rPr>
              <w:fldChar w:fldCharType="end"/>
            </w:r>
          </w:hyperlink>
        </w:p>
        <w:p w14:paraId="5B7ED61F" w14:textId="229CBBAC" w:rsidR="0010365E" w:rsidRDefault="0010365E">
          <w:pPr>
            <w:pStyle w:val="TM2"/>
            <w:rPr>
              <w:rFonts w:asciiTheme="minorHAnsi" w:eastAsiaTheme="minorEastAsia" w:hAnsiTheme="minorHAnsi" w:cstheme="minorBidi"/>
              <w:smallCaps w:val="0"/>
              <w:noProof/>
              <w:sz w:val="24"/>
              <w:szCs w:val="24"/>
              <w:lang w:val="en-CA" w:eastAsia="en-US"/>
            </w:rPr>
          </w:pPr>
          <w:hyperlink w:anchor="_Toc143845827" w:history="1">
            <w:r w:rsidRPr="00E0467E">
              <w:rPr>
                <w:rStyle w:val="Lienhypertexte"/>
                <w:noProof/>
              </w:rPr>
              <w:t>3.3</w:t>
            </w:r>
            <w:r>
              <w:rPr>
                <w:rFonts w:asciiTheme="minorHAnsi" w:eastAsiaTheme="minorEastAsia" w:hAnsiTheme="minorHAnsi" w:cstheme="minorBidi"/>
                <w:smallCaps w:val="0"/>
                <w:noProof/>
                <w:sz w:val="24"/>
                <w:szCs w:val="24"/>
                <w:lang w:val="en-CA" w:eastAsia="en-US"/>
              </w:rPr>
              <w:tab/>
            </w:r>
            <w:r w:rsidRPr="00E0467E">
              <w:rPr>
                <w:rStyle w:val="Lienhypertexte"/>
                <w:noProof/>
              </w:rPr>
              <w:t>Désigner une ou des personnes qualifiées</w:t>
            </w:r>
            <w:r>
              <w:rPr>
                <w:noProof/>
                <w:webHidden/>
              </w:rPr>
              <w:tab/>
            </w:r>
            <w:r>
              <w:rPr>
                <w:noProof/>
                <w:webHidden/>
              </w:rPr>
              <w:fldChar w:fldCharType="begin"/>
            </w:r>
            <w:r>
              <w:rPr>
                <w:noProof/>
                <w:webHidden/>
              </w:rPr>
              <w:instrText xml:space="preserve"> PAGEREF _Toc143845827 \h </w:instrText>
            </w:r>
            <w:r>
              <w:rPr>
                <w:noProof/>
                <w:webHidden/>
              </w:rPr>
            </w:r>
            <w:r>
              <w:rPr>
                <w:noProof/>
                <w:webHidden/>
              </w:rPr>
              <w:fldChar w:fldCharType="separate"/>
            </w:r>
            <w:r>
              <w:rPr>
                <w:noProof/>
                <w:webHidden/>
              </w:rPr>
              <w:t>5</w:t>
            </w:r>
            <w:r>
              <w:rPr>
                <w:noProof/>
                <w:webHidden/>
              </w:rPr>
              <w:fldChar w:fldCharType="end"/>
            </w:r>
          </w:hyperlink>
        </w:p>
        <w:p w14:paraId="2BE947BE" w14:textId="1905E44A" w:rsidR="0010365E" w:rsidRDefault="0010365E">
          <w:pPr>
            <w:pStyle w:val="TM2"/>
            <w:rPr>
              <w:rFonts w:asciiTheme="minorHAnsi" w:eastAsiaTheme="minorEastAsia" w:hAnsiTheme="minorHAnsi" w:cstheme="minorBidi"/>
              <w:smallCaps w:val="0"/>
              <w:noProof/>
              <w:sz w:val="24"/>
              <w:szCs w:val="24"/>
              <w:lang w:val="en-CA" w:eastAsia="en-US"/>
            </w:rPr>
          </w:pPr>
          <w:hyperlink w:anchor="_Toc143845828" w:history="1">
            <w:r w:rsidRPr="00E0467E">
              <w:rPr>
                <w:rStyle w:val="Lienhypertexte"/>
                <w:noProof/>
              </w:rPr>
              <w:t>3.4</w:t>
            </w:r>
            <w:r>
              <w:rPr>
                <w:rFonts w:asciiTheme="minorHAnsi" w:eastAsiaTheme="minorEastAsia" w:hAnsiTheme="minorHAnsi" w:cstheme="minorBidi"/>
                <w:smallCaps w:val="0"/>
                <w:noProof/>
                <w:sz w:val="24"/>
                <w:szCs w:val="24"/>
                <w:lang w:val="en-CA" w:eastAsia="en-US"/>
              </w:rPr>
              <w:tab/>
            </w:r>
            <w:r w:rsidRPr="00E0467E">
              <w:rPr>
                <w:rStyle w:val="Lienhypertexte"/>
                <w:noProof/>
              </w:rPr>
              <w:t>Former et informer les membres du comité de travail paritaire</w:t>
            </w:r>
            <w:r>
              <w:rPr>
                <w:noProof/>
                <w:webHidden/>
              </w:rPr>
              <w:tab/>
            </w:r>
            <w:r>
              <w:rPr>
                <w:noProof/>
                <w:webHidden/>
              </w:rPr>
              <w:fldChar w:fldCharType="begin"/>
            </w:r>
            <w:r>
              <w:rPr>
                <w:noProof/>
                <w:webHidden/>
              </w:rPr>
              <w:instrText xml:space="preserve"> PAGEREF _Toc143845828 \h </w:instrText>
            </w:r>
            <w:r>
              <w:rPr>
                <w:noProof/>
                <w:webHidden/>
              </w:rPr>
            </w:r>
            <w:r>
              <w:rPr>
                <w:noProof/>
                <w:webHidden/>
              </w:rPr>
              <w:fldChar w:fldCharType="separate"/>
            </w:r>
            <w:r>
              <w:rPr>
                <w:noProof/>
                <w:webHidden/>
              </w:rPr>
              <w:t>9</w:t>
            </w:r>
            <w:r>
              <w:rPr>
                <w:noProof/>
                <w:webHidden/>
              </w:rPr>
              <w:fldChar w:fldCharType="end"/>
            </w:r>
          </w:hyperlink>
        </w:p>
        <w:p w14:paraId="2F720DC1" w14:textId="7FA99ABF" w:rsidR="0010365E" w:rsidRDefault="0010365E">
          <w:pPr>
            <w:pStyle w:val="TM1"/>
            <w:rPr>
              <w:rFonts w:asciiTheme="minorHAnsi" w:eastAsiaTheme="minorEastAsia" w:hAnsiTheme="minorHAnsi" w:cstheme="minorBidi"/>
              <w:b w:val="0"/>
              <w:bCs w:val="0"/>
              <w:caps w:val="0"/>
              <w:noProof/>
              <w:sz w:val="24"/>
              <w:szCs w:val="24"/>
              <w:lang w:val="en-CA" w:eastAsia="en-US"/>
            </w:rPr>
          </w:pPr>
          <w:hyperlink w:anchor="_Toc143845829" w:history="1">
            <w:r w:rsidRPr="00E0467E">
              <w:rPr>
                <w:rStyle w:val="Lienhypertexte"/>
                <w:noProof/>
              </w:rPr>
              <w:t>4.</w:t>
            </w:r>
            <w:r>
              <w:rPr>
                <w:rFonts w:asciiTheme="minorHAnsi" w:eastAsiaTheme="minorEastAsia" w:hAnsiTheme="minorHAnsi" w:cstheme="minorBidi"/>
                <w:b w:val="0"/>
                <w:bCs w:val="0"/>
                <w:caps w:val="0"/>
                <w:noProof/>
                <w:sz w:val="24"/>
                <w:szCs w:val="24"/>
                <w:lang w:val="en-CA" w:eastAsia="en-US"/>
              </w:rPr>
              <w:tab/>
            </w:r>
            <w:r w:rsidRPr="00E0467E">
              <w:rPr>
                <w:rStyle w:val="Lienhypertexte"/>
                <w:noProof/>
              </w:rPr>
              <w:t>POLITIQUE SST sur les espaces clos</w:t>
            </w:r>
            <w:r>
              <w:rPr>
                <w:noProof/>
                <w:webHidden/>
              </w:rPr>
              <w:tab/>
            </w:r>
            <w:r>
              <w:rPr>
                <w:noProof/>
                <w:webHidden/>
              </w:rPr>
              <w:fldChar w:fldCharType="begin"/>
            </w:r>
            <w:r>
              <w:rPr>
                <w:noProof/>
                <w:webHidden/>
              </w:rPr>
              <w:instrText xml:space="preserve"> PAGEREF _Toc143845829 \h </w:instrText>
            </w:r>
            <w:r>
              <w:rPr>
                <w:noProof/>
                <w:webHidden/>
              </w:rPr>
            </w:r>
            <w:r>
              <w:rPr>
                <w:noProof/>
                <w:webHidden/>
              </w:rPr>
              <w:fldChar w:fldCharType="separate"/>
            </w:r>
            <w:r>
              <w:rPr>
                <w:noProof/>
                <w:webHidden/>
              </w:rPr>
              <w:t>9</w:t>
            </w:r>
            <w:r>
              <w:rPr>
                <w:noProof/>
                <w:webHidden/>
              </w:rPr>
              <w:fldChar w:fldCharType="end"/>
            </w:r>
          </w:hyperlink>
        </w:p>
        <w:p w14:paraId="458674C3" w14:textId="425E1473" w:rsidR="0010365E" w:rsidRDefault="0010365E">
          <w:pPr>
            <w:pStyle w:val="TM1"/>
            <w:rPr>
              <w:rFonts w:asciiTheme="minorHAnsi" w:eastAsiaTheme="minorEastAsia" w:hAnsiTheme="minorHAnsi" w:cstheme="minorBidi"/>
              <w:b w:val="0"/>
              <w:bCs w:val="0"/>
              <w:caps w:val="0"/>
              <w:noProof/>
              <w:sz w:val="24"/>
              <w:szCs w:val="24"/>
              <w:lang w:val="en-CA" w:eastAsia="en-US"/>
            </w:rPr>
          </w:pPr>
          <w:hyperlink w:anchor="_Toc143845830" w:history="1">
            <w:r w:rsidRPr="00E0467E">
              <w:rPr>
                <w:rStyle w:val="Lienhypertexte"/>
                <w:noProof/>
              </w:rPr>
              <w:t>5.</w:t>
            </w:r>
            <w:r>
              <w:rPr>
                <w:rFonts w:asciiTheme="minorHAnsi" w:eastAsiaTheme="minorEastAsia" w:hAnsiTheme="minorHAnsi" w:cstheme="minorBidi"/>
                <w:b w:val="0"/>
                <w:bCs w:val="0"/>
                <w:caps w:val="0"/>
                <w:noProof/>
                <w:sz w:val="24"/>
                <w:szCs w:val="24"/>
                <w:lang w:val="en-CA" w:eastAsia="en-US"/>
              </w:rPr>
              <w:tab/>
            </w:r>
            <w:r w:rsidRPr="00E0467E">
              <w:rPr>
                <w:rStyle w:val="Lienhypertexte"/>
                <w:noProof/>
              </w:rPr>
              <w:t>INVENTAIRE et analyse</w:t>
            </w:r>
            <w:r>
              <w:rPr>
                <w:noProof/>
                <w:webHidden/>
              </w:rPr>
              <w:tab/>
            </w:r>
            <w:r>
              <w:rPr>
                <w:noProof/>
                <w:webHidden/>
              </w:rPr>
              <w:fldChar w:fldCharType="begin"/>
            </w:r>
            <w:r>
              <w:rPr>
                <w:noProof/>
                <w:webHidden/>
              </w:rPr>
              <w:instrText xml:space="preserve"> PAGEREF _Toc143845830 \h </w:instrText>
            </w:r>
            <w:r>
              <w:rPr>
                <w:noProof/>
                <w:webHidden/>
              </w:rPr>
            </w:r>
            <w:r>
              <w:rPr>
                <w:noProof/>
                <w:webHidden/>
              </w:rPr>
              <w:fldChar w:fldCharType="separate"/>
            </w:r>
            <w:r>
              <w:rPr>
                <w:noProof/>
                <w:webHidden/>
              </w:rPr>
              <w:t>9</w:t>
            </w:r>
            <w:r>
              <w:rPr>
                <w:noProof/>
                <w:webHidden/>
              </w:rPr>
              <w:fldChar w:fldCharType="end"/>
            </w:r>
          </w:hyperlink>
        </w:p>
        <w:p w14:paraId="523A39E6" w14:textId="252A5CB0" w:rsidR="0010365E" w:rsidRDefault="0010365E">
          <w:pPr>
            <w:pStyle w:val="TM2"/>
            <w:rPr>
              <w:rFonts w:asciiTheme="minorHAnsi" w:eastAsiaTheme="minorEastAsia" w:hAnsiTheme="minorHAnsi" w:cstheme="minorBidi"/>
              <w:smallCaps w:val="0"/>
              <w:noProof/>
              <w:sz w:val="24"/>
              <w:szCs w:val="24"/>
              <w:lang w:val="en-CA" w:eastAsia="en-US"/>
            </w:rPr>
          </w:pPr>
          <w:hyperlink w:anchor="_Toc143845831" w:history="1">
            <w:r w:rsidRPr="00E0467E">
              <w:rPr>
                <w:rStyle w:val="Lienhypertexte"/>
                <w:noProof/>
              </w:rPr>
              <w:t>5.1</w:t>
            </w:r>
            <w:r>
              <w:rPr>
                <w:rFonts w:asciiTheme="minorHAnsi" w:eastAsiaTheme="minorEastAsia" w:hAnsiTheme="minorHAnsi" w:cstheme="minorBidi"/>
                <w:smallCaps w:val="0"/>
                <w:noProof/>
                <w:sz w:val="24"/>
                <w:szCs w:val="24"/>
                <w:lang w:val="en-CA" w:eastAsia="en-US"/>
              </w:rPr>
              <w:tab/>
            </w:r>
            <w:r w:rsidRPr="00E0467E">
              <w:rPr>
                <w:rStyle w:val="Lienhypertexte"/>
                <w:noProof/>
              </w:rPr>
              <w:t>Désigner les travailleuses et travailleurs compétents  qui collaboreront avec la personne qualifiée</w:t>
            </w:r>
            <w:r>
              <w:rPr>
                <w:noProof/>
                <w:webHidden/>
              </w:rPr>
              <w:tab/>
            </w:r>
            <w:r>
              <w:rPr>
                <w:noProof/>
                <w:webHidden/>
              </w:rPr>
              <w:fldChar w:fldCharType="begin"/>
            </w:r>
            <w:r>
              <w:rPr>
                <w:noProof/>
                <w:webHidden/>
              </w:rPr>
              <w:instrText xml:space="preserve"> PAGEREF _Toc143845831 \h </w:instrText>
            </w:r>
            <w:r>
              <w:rPr>
                <w:noProof/>
                <w:webHidden/>
              </w:rPr>
            </w:r>
            <w:r>
              <w:rPr>
                <w:noProof/>
                <w:webHidden/>
              </w:rPr>
              <w:fldChar w:fldCharType="separate"/>
            </w:r>
            <w:r>
              <w:rPr>
                <w:noProof/>
                <w:webHidden/>
              </w:rPr>
              <w:t>9</w:t>
            </w:r>
            <w:r>
              <w:rPr>
                <w:noProof/>
                <w:webHidden/>
              </w:rPr>
              <w:fldChar w:fldCharType="end"/>
            </w:r>
          </w:hyperlink>
        </w:p>
        <w:p w14:paraId="1ECC1D53" w14:textId="637E5DB3" w:rsidR="0010365E" w:rsidRDefault="0010365E">
          <w:pPr>
            <w:pStyle w:val="TM2"/>
            <w:rPr>
              <w:rFonts w:asciiTheme="minorHAnsi" w:eastAsiaTheme="minorEastAsia" w:hAnsiTheme="minorHAnsi" w:cstheme="minorBidi"/>
              <w:smallCaps w:val="0"/>
              <w:noProof/>
              <w:sz w:val="24"/>
              <w:szCs w:val="24"/>
              <w:lang w:val="en-CA" w:eastAsia="en-US"/>
            </w:rPr>
          </w:pPr>
          <w:hyperlink w:anchor="_Toc143845832" w:history="1">
            <w:r w:rsidRPr="00E0467E">
              <w:rPr>
                <w:rStyle w:val="Lienhypertexte"/>
                <w:noProof/>
              </w:rPr>
              <w:t>5.2</w:t>
            </w:r>
            <w:r>
              <w:rPr>
                <w:rFonts w:asciiTheme="minorHAnsi" w:eastAsiaTheme="minorEastAsia" w:hAnsiTheme="minorHAnsi" w:cstheme="minorBidi"/>
                <w:smallCaps w:val="0"/>
                <w:noProof/>
                <w:sz w:val="24"/>
                <w:szCs w:val="24"/>
                <w:lang w:val="en-CA" w:eastAsia="en-US"/>
              </w:rPr>
              <w:tab/>
            </w:r>
            <w:r w:rsidRPr="00E0467E">
              <w:rPr>
                <w:rStyle w:val="Lienhypertexte"/>
                <w:noProof/>
              </w:rPr>
              <w:t>Élaborer ou mettre à jour la liste des espaces clos</w:t>
            </w:r>
            <w:r>
              <w:rPr>
                <w:noProof/>
                <w:webHidden/>
              </w:rPr>
              <w:tab/>
            </w:r>
            <w:r>
              <w:rPr>
                <w:noProof/>
                <w:webHidden/>
              </w:rPr>
              <w:fldChar w:fldCharType="begin"/>
            </w:r>
            <w:r>
              <w:rPr>
                <w:noProof/>
                <w:webHidden/>
              </w:rPr>
              <w:instrText xml:space="preserve"> PAGEREF _Toc143845832 \h </w:instrText>
            </w:r>
            <w:r>
              <w:rPr>
                <w:noProof/>
                <w:webHidden/>
              </w:rPr>
            </w:r>
            <w:r>
              <w:rPr>
                <w:noProof/>
                <w:webHidden/>
              </w:rPr>
              <w:fldChar w:fldCharType="separate"/>
            </w:r>
            <w:r>
              <w:rPr>
                <w:noProof/>
                <w:webHidden/>
              </w:rPr>
              <w:t>9</w:t>
            </w:r>
            <w:r>
              <w:rPr>
                <w:noProof/>
                <w:webHidden/>
              </w:rPr>
              <w:fldChar w:fldCharType="end"/>
            </w:r>
          </w:hyperlink>
        </w:p>
        <w:p w14:paraId="178DBACB" w14:textId="2C35B01F" w:rsidR="0010365E" w:rsidRDefault="0010365E">
          <w:pPr>
            <w:pStyle w:val="TM2"/>
            <w:rPr>
              <w:rFonts w:asciiTheme="minorHAnsi" w:eastAsiaTheme="minorEastAsia" w:hAnsiTheme="minorHAnsi" w:cstheme="minorBidi"/>
              <w:smallCaps w:val="0"/>
              <w:noProof/>
              <w:sz w:val="24"/>
              <w:szCs w:val="24"/>
              <w:lang w:val="en-CA" w:eastAsia="en-US"/>
            </w:rPr>
          </w:pPr>
          <w:hyperlink w:anchor="_Toc143845833" w:history="1">
            <w:r w:rsidRPr="00E0467E">
              <w:rPr>
                <w:rStyle w:val="Lienhypertexte"/>
                <w:noProof/>
              </w:rPr>
              <w:t>5.3</w:t>
            </w:r>
            <w:r>
              <w:rPr>
                <w:rFonts w:asciiTheme="minorHAnsi" w:eastAsiaTheme="minorEastAsia" w:hAnsiTheme="minorHAnsi" w:cstheme="minorBidi"/>
                <w:smallCaps w:val="0"/>
                <w:noProof/>
                <w:sz w:val="24"/>
                <w:szCs w:val="24"/>
                <w:lang w:val="en-CA" w:eastAsia="en-US"/>
              </w:rPr>
              <w:tab/>
            </w:r>
            <w:r w:rsidRPr="00E0467E">
              <w:rPr>
                <w:rStyle w:val="Lienhypertexte"/>
                <w:noProof/>
              </w:rPr>
              <w:t>Effectuer la cueillette des renseignements</w:t>
            </w:r>
            <w:r>
              <w:rPr>
                <w:noProof/>
                <w:webHidden/>
              </w:rPr>
              <w:tab/>
            </w:r>
            <w:r>
              <w:rPr>
                <w:noProof/>
                <w:webHidden/>
              </w:rPr>
              <w:fldChar w:fldCharType="begin"/>
            </w:r>
            <w:r>
              <w:rPr>
                <w:noProof/>
                <w:webHidden/>
              </w:rPr>
              <w:instrText xml:space="preserve"> PAGEREF _Toc143845833 \h </w:instrText>
            </w:r>
            <w:r>
              <w:rPr>
                <w:noProof/>
                <w:webHidden/>
              </w:rPr>
            </w:r>
            <w:r>
              <w:rPr>
                <w:noProof/>
                <w:webHidden/>
              </w:rPr>
              <w:fldChar w:fldCharType="separate"/>
            </w:r>
            <w:r>
              <w:rPr>
                <w:noProof/>
                <w:webHidden/>
              </w:rPr>
              <w:t>10</w:t>
            </w:r>
            <w:r>
              <w:rPr>
                <w:noProof/>
                <w:webHidden/>
              </w:rPr>
              <w:fldChar w:fldCharType="end"/>
            </w:r>
          </w:hyperlink>
        </w:p>
        <w:p w14:paraId="3343B5B8" w14:textId="6C416B41" w:rsidR="0010365E" w:rsidRDefault="0010365E">
          <w:pPr>
            <w:pStyle w:val="TM2"/>
            <w:rPr>
              <w:rFonts w:asciiTheme="minorHAnsi" w:eastAsiaTheme="minorEastAsia" w:hAnsiTheme="minorHAnsi" w:cstheme="minorBidi"/>
              <w:smallCaps w:val="0"/>
              <w:noProof/>
              <w:sz w:val="24"/>
              <w:szCs w:val="24"/>
              <w:lang w:val="en-CA" w:eastAsia="en-US"/>
            </w:rPr>
          </w:pPr>
          <w:hyperlink w:anchor="_Toc143845834" w:history="1">
            <w:r w:rsidRPr="00E0467E">
              <w:rPr>
                <w:rStyle w:val="Lienhypertexte"/>
                <w:noProof/>
              </w:rPr>
              <w:t>5.4</w:t>
            </w:r>
            <w:r>
              <w:rPr>
                <w:rFonts w:asciiTheme="minorHAnsi" w:eastAsiaTheme="minorEastAsia" w:hAnsiTheme="minorHAnsi" w:cstheme="minorBidi"/>
                <w:smallCaps w:val="0"/>
                <w:noProof/>
                <w:sz w:val="24"/>
                <w:szCs w:val="24"/>
                <w:lang w:val="en-CA" w:eastAsia="en-US"/>
              </w:rPr>
              <w:tab/>
            </w:r>
            <w:r w:rsidRPr="00E0467E">
              <w:rPr>
                <w:rStyle w:val="Lienhypertexte"/>
                <w:noProof/>
              </w:rPr>
              <w:t>Mettre à jour l’inventaire des espaces clos</w:t>
            </w:r>
            <w:r>
              <w:rPr>
                <w:noProof/>
                <w:webHidden/>
              </w:rPr>
              <w:tab/>
            </w:r>
            <w:r>
              <w:rPr>
                <w:noProof/>
                <w:webHidden/>
              </w:rPr>
              <w:fldChar w:fldCharType="begin"/>
            </w:r>
            <w:r>
              <w:rPr>
                <w:noProof/>
                <w:webHidden/>
              </w:rPr>
              <w:instrText xml:space="preserve"> PAGEREF _Toc143845834 \h </w:instrText>
            </w:r>
            <w:r>
              <w:rPr>
                <w:noProof/>
                <w:webHidden/>
              </w:rPr>
            </w:r>
            <w:r>
              <w:rPr>
                <w:noProof/>
                <w:webHidden/>
              </w:rPr>
              <w:fldChar w:fldCharType="separate"/>
            </w:r>
            <w:r>
              <w:rPr>
                <w:noProof/>
                <w:webHidden/>
              </w:rPr>
              <w:t>10</w:t>
            </w:r>
            <w:r>
              <w:rPr>
                <w:noProof/>
                <w:webHidden/>
              </w:rPr>
              <w:fldChar w:fldCharType="end"/>
            </w:r>
          </w:hyperlink>
        </w:p>
        <w:p w14:paraId="479F219F" w14:textId="7ED611B6" w:rsidR="0010365E" w:rsidRDefault="0010365E">
          <w:pPr>
            <w:pStyle w:val="TM2"/>
            <w:rPr>
              <w:rFonts w:asciiTheme="minorHAnsi" w:eastAsiaTheme="minorEastAsia" w:hAnsiTheme="minorHAnsi" w:cstheme="minorBidi"/>
              <w:smallCaps w:val="0"/>
              <w:noProof/>
              <w:sz w:val="24"/>
              <w:szCs w:val="24"/>
              <w:lang w:val="en-CA" w:eastAsia="en-US"/>
            </w:rPr>
          </w:pPr>
          <w:hyperlink w:anchor="_Toc143845835" w:history="1">
            <w:r w:rsidRPr="00E0467E">
              <w:rPr>
                <w:rStyle w:val="Lienhypertexte"/>
                <w:noProof/>
              </w:rPr>
              <w:t>5.5</w:t>
            </w:r>
            <w:r>
              <w:rPr>
                <w:rFonts w:asciiTheme="minorHAnsi" w:eastAsiaTheme="minorEastAsia" w:hAnsiTheme="minorHAnsi" w:cstheme="minorBidi"/>
                <w:smallCaps w:val="0"/>
                <w:noProof/>
                <w:sz w:val="24"/>
                <w:szCs w:val="24"/>
                <w:lang w:val="en-CA" w:eastAsia="en-US"/>
              </w:rPr>
              <w:tab/>
            </w:r>
            <w:r w:rsidRPr="00E0467E">
              <w:rPr>
                <w:rStyle w:val="Lienhypertexte"/>
                <w:noProof/>
              </w:rPr>
              <w:t>Apposer une affiche d’identification</w:t>
            </w:r>
            <w:r>
              <w:rPr>
                <w:noProof/>
                <w:webHidden/>
              </w:rPr>
              <w:tab/>
            </w:r>
            <w:r>
              <w:rPr>
                <w:noProof/>
                <w:webHidden/>
              </w:rPr>
              <w:fldChar w:fldCharType="begin"/>
            </w:r>
            <w:r>
              <w:rPr>
                <w:noProof/>
                <w:webHidden/>
              </w:rPr>
              <w:instrText xml:space="preserve"> PAGEREF _Toc143845835 \h </w:instrText>
            </w:r>
            <w:r>
              <w:rPr>
                <w:noProof/>
                <w:webHidden/>
              </w:rPr>
            </w:r>
            <w:r>
              <w:rPr>
                <w:noProof/>
                <w:webHidden/>
              </w:rPr>
              <w:fldChar w:fldCharType="separate"/>
            </w:r>
            <w:r>
              <w:rPr>
                <w:noProof/>
                <w:webHidden/>
              </w:rPr>
              <w:t>11</w:t>
            </w:r>
            <w:r>
              <w:rPr>
                <w:noProof/>
                <w:webHidden/>
              </w:rPr>
              <w:fldChar w:fldCharType="end"/>
            </w:r>
          </w:hyperlink>
        </w:p>
        <w:p w14:paraId="3ED99911" w14:textId="109E5854" w:rsidR="0010365E" w:rsidRDefault="0010365E">
          <w:pPr>
            <w:pStyle w:val="TM1"/>
            <w:rPr>
              <w:rFonts w:asciiTheme="minorHAnsi" w:eastAsiaTheme="minorEastAsia" w:hAnsiTheme="minorHAnsi" w:cstheme="minorBidi"/>
              <w:b w:val="0"/>
              <w:bCs w:val="0"/>
              <w:caps w:val="0"/>
              <w:noProof/>
              <w:sz w:val="24"/>
              <w:szCs w:val="24"/>
              <w:lang w:val="en-CA" w:eastAsia="en-US"/>
            </w:rPr>
          </w:pPr>
          <w:hyperlink w:anchor="_Toc143845836" w:history="1">
            <w:r w:rsidRPr="00E0467E">
              <w:rPr>
                <w:rStyle w:val="Lienhypertexte"/>
                <w:noProof/>
              </w:rPr>
              <w:t>6.</w:t>
            </w:r>
            <w:r>
              <w:rPr>
                <w:rFonts w:asciiTheme="minorHAnsi" w:eastAsiaTheme="minorEastAsia" w:hAnsiTheme="minorHAnsi" w:cstheme="minorBidi"/>
                <w:b w:val="0"/>
                <w:bCs w:val="0"/>
                <w:caps w:val="0"/>
                <w:noProof/>
                <w:sz w:val="24"/>
                <w:szCs w:val="24"/>
                <w:lang w:val="en-CA" w:eastAsia="en-US"/>
              </w:rPr>
              <w:tab/>
            </w:r>
            <w:r w:rsidRPr="00E0467E">
              <w:rPr>
                <w:rStyle w:val="Lienhypertexte"/>
                <w:noProof/>
              </w:rPr>
              <w:t>Aménagement/CONCEPTION</w:t>
            </w:r>
            <w:r>
              <w:rPr>
                <w:noProof/>
                <w:webHidden/>
              </w:rPr>
              <w:tab/>
            </w:r>
            <w:r>
              <w:rPr>
                <w:noProof/>
                <w:webHidden/>
              </w:rPr>
              <w:fldChar w:fldCharType="begin"/>
            </w:r>
            <w:r>
              <w:rPr>
                <w:noProof/>
                <w:webHidden/>
              </w:rPr>
              <w:instrText xml:space="preserve"> PAGEREF _Toc143845836 \h </w:instrText>
            </w:r>
            <w:r>
              <w:rPr>
                <w:noProof/>
                <w:webHidden/>
              </w:rPr>
            </w:r>
            <w:r>
              <w:rPr>
                <w:noProof/>
                <w:webHidden/>
              </w:rPr>
              <w:fldChar w:fldCharType="separate"/>
            </w:r>
            <w:r>
              <w:rPr>
                <w:noProof/>
                <w:webHidden/>
              </w:rPr>
              <w:t>11</w:t>
            </w:r>
            <w:r>
              <w:rPr>
                <w:noProof/>
                <w:webHidden/>
              </w:rPr>
              <w:fldChar w:fldCharType="end"/>
            </w:r>
          </w:hyperlink>
        </w:p>
        <w:p w14:paraId="3CD205E1" w14:textId="0C4B74BC" w:rsidR="0010365E" w:rsidRDefault="0010365E">
          <w:pPr>
            <w:pStyle w:val="TM2"/>
            <w:rPr>
              <w:rFonts w:asciiTheme="minorHAnsi" w:eastAsiaTheme="minorEastAsia" w:hAnsiTheme="minorHAnsi" w:cstheme="minorBidi"/>
              <w:smallCaps w:val="0"/>
              <w:noProof/>
              <w:sz w:val="24"/>
              <w:szCs w:val="24"/>
              <w:lang w:val="en-CA" w:eastAsia="en-US"/>
            </w:rPr>
          </w:pPr>
          <w:hyperlink w:anchor="_Toc143845837" w:history="1">
            <w:r w:rsidRPr="00E0467E">
              <w:rPr>
                <w:rStyle w:val="Lienhypertexte"/>
                <w:noProof/>
              </w:rPr>
              <w:t>6.1</w:t>
            </w:r>
            <w:r>
              <w:rPr>
                <w:rFonts w:asciiTheme="minorHAnsi" w:eastAsiaTheme="minorEastAsia" w:hAnsiTheme="minorHAnsi" w:cstheme="minorBidi"/>
                <w:smallCaps w:val="0"/>
                <w:noProof/>
                <w:sz w:val="24"/>
                <w:szCs w:val="24"/>
                <w:lang w:val="en-CA" w:eastAsia="en-US"/>
              </w:rPr>
              <w:tab/>
            </w:r>
            <w:r w:rsidRPr="00E0467E">
              <w:rPr>
                <w:rStyle w:val="Lienhypertexte"/>
                <w:noProof/>
              </w:rPr>
              <w:t>Évaluer l’aménagement/conception</w:t>
            </w:r>
            <w:r>
              <w:rPr>
                <w:noProof/>
                <w:webHidden/>
              </w:rPr>
              <w:tab/>
            </w:r>
            <w:r>
              <w:rPr>
                <w:noProof/>
                <w:webHidden/>
              </w:rPr>
              <w:fldChar w:fldCharType="begin"/>
            </w:r>
            <w:r>
              <w:rPr>
                <w:noProof/>
                <w:webHidden/>
              </w:rPr>
              <w:instrText xml:space="preserve"> PAGEREF _Toc143845837 \h </w:instrText>
            </w:r>
            <w:r>
              <w:rPr>
                <w:noProof/>
                <w:webHidden/>
              </w:rPr>
            </w:r>
            <w:r>
              <w:rPr>
                <w:noProof/>
                <w:webHidden/>
              </w:rPr>
              <w:fldChar w:fldCharType="separate"/>
            </w:r>
            <w:r>
              <w:rPr>
                <w:noProof/>
                <w:webHidden/>
              </w:rPr>
              <w:t>12</w:t>
            </w:r>
            <w:r>
              <w:rPr>
                <w:noProof/>
                <w:webHidden/>
              </w:rPr>
              <w:fldChar w:fldCharType="end"/>
            </w:r>
          </w:hyperlink>
        </w:p>
        <w:p w14:paraId="6038675F" w14:textId="53A6A365" w:rsidR="0010365E" w:rsidRDefault="0010365E">
          <w:pPr>
            <w:pStyle w:val="TM2"/>
            <w:rPr>
              <w:rFonts w:asciiTheme="minorHAnsi" w:eastAsiaTheme="minorEastAsia" w:hAnsiTheme="minorHAnsi" w:cstheme="minorBidi"/>
              <w:smallCaps w:val="0"/>
              <w:noProof/>
              <w:sz w:val="24"/>
              <w:szCs w:val="24"/>
              <w:lang w:val="en-CA" w:eastAsia="en-US"/>
            </w:rPr>
          </w:pPr>
          <w:hyperlink w:anchor="_Toc143845838" w:history="1">
            <w:r w:rsidRPr="00E0467E">
              <w:rPr>
                <w:rStyle w:val="Lienhypertexte"/>
                <w:noProof/>
              </w:rPr>
              <w:t>6.2</w:t>
            </w:r>
            <w:r>
              <w:rPr>
                <w:rFonts w:asciiTheme="minorHAnsi" w:eastAsiaTheme="minorEastAsia" w:hAnsiTheme="minorHAnsi" w:cstheme="minorBidi"/>
                <w:smallCaps w:val="0"/>
                <w:noProof/>
                <w:sz w:val="24"/>
                <w:szCs w:val="24"/>
                <w:lang w:val="en-CA" w:eastAsia="en-US"/>
              </w:rPr>
              <w:tab/>
            </w:r>
            <w:r w:rsidRPr="00E0467E">
              <w:rPr>
                <w:rStyle w:val="Lienhypertexte"/>
                <w:noProof/>
              </w:rPr>
              <w:t>Transmettre les solutions</w:t>
            </w:r>
            <w:r>
              <w:rPr>
                <w:noProof/>
                <w:webHidden/>
              </w:rPr>
              <w:tab/>
            </w:r>
            <w:r>
              <w:rPr>
                <w:noProof/>
                <w:webHidden/>
              </w:rPr>
              <w:fldChar w:fldCharType="begin"/>
            </w:r>
            <w:r>
              <w:rPr>
                <w:noProof/>
                <w:webHidden/>
              </w:rPr>
              <w:instrText xml:space="preserve"> PAGEREF _Toc143845838 \h </w:instrText>
            </w:r>
            <w:r>
              <w:rPr>
                <w:noProof/>
                <w:webHidden/>
              </w:rPr>
            </w:r>
            <w:r>
              <w:rPr>
                <w:noProof/>
                <w:webHidden/>
              </w:rPr>
              <w:fldChar w:fldCharType="separate"/>
            </w:r>
            <w:r>
              <w:rPr>
                <w:noProof/>
                <w:webHidden/>
              </w:rPr>
              <w:t>12</w:t>
            </w:r>
            <w:r>
              <w:rPr>
                <w:noProof/>
                <w:webHidden/>
              </w:rPr>
              <w:fldChar w:fldCharType="end"/>
            </w:r>
          </w:hyperlink>
        </w:p>
        <w:p w14:paraId="6EE29128" w14:textId="144139CF" w:rsidR="0010365E" w:rsidRDefault="0010365E">
          <w:pPr>
            <w:pStyle w:val="TM2"/>
            <w:rPr>
              <w:rFonts w:asciiTheme="minorHAnsi" w:eastAsiaTheme="minorEastAsia" w:hAnsiTheme="minorHAnsi" w:cstheme="minorBidi"/>
              <w:smallCaps w:val="0"/>
              <w:noProof/>
              <w:sz w:val="24"/>
              <w:szCs w:val="24"/>
              <w:lang w:val="en-CA" w:eastAsia="en-US"/>
            </w:rPr>
          </w:pPr>
          <w:hyperlink w:anchor="_Toc143845839" w:history="1">
            <w:r w:rsidRPr="00E0467E">
              <w:rPr>
                <w:rStyle w:val="Lienhypertexte"/>
                <w:noProof/>
              </w:rPr>
              <w:t>6.3</w:t>
            </w:r>
            <w:r>
              <w:rPr>
                <w:rFonts w:asciiTheme="minorHAnsi" w:eastAsiaTheme="minorEastAsia" w:hAnsiTheme="minorHAnsi" w:cstheme="minorBidi"/>
                <w:smallCaps w:val="0"/>
                <w:noProof/>
                <w:sz w:val="24"/>
                <w:szCs w:val="24"/>
                <w:lang w:val="en-CA" w:eastAsia="en-US"/>
              </w:rPr>
              <w:tab/>
            </w:r>
            <w:r w:rsidRPr="00E0467E">
              <w:rPr>
                <w:rStyle w:val="Lienhypertexte"/>
                <w:noProof/>
              </w:rPr>
              <w:t>Émettre une directive sur les critères d’aménagement</w:t>
            </w:r>
            <w:r>
              <w:rPr>
                <w:noProof/>
                <w:webHidden/>
              </w:rPr>
              <w:tab/>
            </w:r>
            <w:r>
              <w:rPr>
                <w:noProof/>
                <w:webHidden/>
              </w:rPr>
              <w:fldChar w:fldCharType="begin"/>
            </w:r>
            <w:r>
              <w:rPr>
                <w:noProof/>
                <w:webHidden/>
              </w:rPr>
              <w:instrText xml:space="preserve"> PAGEREF _Toc143845839 \h </w:instrText>
            </w:r>
            <w:r>
              <w:rPr>
                <w:noProof/>
                <w:webHidden/>
              </w:rPr>
            </w:r>
            <w:r>
              <w:rPr>
                <w:noProof/>
                <w:webHidden/>
              </w:rPr>
              <w:fldChar w:fldCharType="separate"/>
            </w:r>
            <w:r>
              <w:rPr>
                <w:noProof/>
                <w:webHidden/>
              </w:rPr>
              <w:t>13</w:t>
            </w:r>
            <w:r>
              <w:rPr>
                <w:noProof/>
                <w:webHidden/>
              </w:rPr>
              <w:fldChar w:fldCharType="end"/>
            </w:r>
          </w:hyperlink>
        </w:p>
        <w:p w14:paraId="04E7B015" w14:textId="04664B59" w:rsidR="0010365E" w:rsidRDefault="0010365E">
          <w:pPr>
            <w:pStyle w:val="TM2"/>
            <w:rPr>
              <w:rFonts w:asciiTheme="minorHAnsi" w:eastAsiaTheme="minorEastAsia" w:hAnsiTheme="minorHAnsi" w:cstheme="minorBidi"/>
              <w:smallCaps w:val="0"/>
              <w:noProof/>
              <w:sz w:val="24"/>
              <w:szCs w:val="24"/>
              <w:lang w:val="en-CA" w:eastAsia="en-US"/>
            </w:rPr>
          </w:pPr>
          <w:hyperlink w:anchor="_Toc143845840" w:history="1">
            <w:r w:rsidRPr="00E0467E">
              <w:rPr>
                <w:rStyle w:val="Lienhypertexte"/>
                <w:noProof/>
              </w:rPr>
              <w:t>6.4</w:t>
            </w:r>
            <w:r>
              <w:rPr>
                <w:rFonts w:asciiTheme="minorHAnsi" w:eastAsiaTheme="minorEastAsia" w:hAnsiTheme="minorHAnsi" w:cstheme="minorBidi"/>
                <w:smallCaps w:val="0"/>
                <w:noProof/>
                <w:sz w:val="24"/>
                <w:szCs w:val="24"/>
                <w:lang w:val="en-CA" w:eastAsia="en-US"/>
              </w:rPr>
              <w:tab/>
            </w:r>
            <w:r w:rsidRPr="00E0467E">
              <w:rPr>
                <w:rStyle w:val="Lienhypertexte"/>
                <w:noProof/>
              </w:rPr>
              <w:t>Effectuer un suivi des correctifs</w:t>
            </w:r>
            <w:r>
              <w:rPr>
                <w:noProof/>
                <w:webHidden/>
              </w:rPr>
              <w:tab/>
            </w:r>
            <w:r>
              <w:rPr>
                <w:noProof/>
                <w:webHidden/>
              </w:rPr>
              <w:fldChar w:fldCharType="begin"/>
            </w:r>
            <w:r>
              <w:rPr>
                <w:noProof/>
                <w:webHidden/>
              </w:rPr>
              <w:instrText xml:space="preserve"> PAGEREF _Toc143845840 \h </w:instrText>
            </w:r>
            <w:r>
              <w:rPr>
                <w:noProof/>
                <w:webHidden/>
              </w:rPr>
            </w:r>
            <w:r>
              <w:rPr>
                <w:noProof/>
                <w:webHidden/>
              </w:rPr>
              <w:fldChar w:fldCharType="separate"/>
            </w:r>
            <w:r>
              <w:rPr>
                <w:noProof/>
                <w:webHidden/>
              </w:rPr>
              <w:t>13</w:t>
            </w:r>
            <w:r>
              <w:rPr>
                <w:noProof/>
                <w:webHidden/>
              </w:rPr>
              <w:fldChar w:fldCharType="end"/>
            </w:r>
          </w:hyperlink>
        </w:p>
        <w:p w14:paraId="475AD58B" w14:textId="7887A07B" w:rsidR="0010365E" w:rsidRDefault="0010365E">
          <w:pPr>
            <w:pStyle w:val="TM1"/>
            <w:rPr>
              <w:rFonts w:asciiTheme="minorHAnsi" w:eastAsiaTheme="minorEastAsia" w:hAnsiTheme="minorHAnsi" w:cstheme="minorBidi"/>
              <w:b w:val="0"/>
              <w:bCs w:val="0"/>
              <w:caps w:val="0"/>
              <w:noProof/>
              <w:sz w:val="24"/>
              <w:szCs w:val="24"/>
              <w:lang w:val="en-CA" w:eastAsia="en-US"/>
            </w:rPr>
          </w:pPr>
          <w:hyperlink w:anchor="_Toc143845841" w:history="1">
            <w:r w:rsidRPr="00E0467E">
              <w:rPr>
                <w:rStyle w:val="Lienhypertexte"/>
                <w:noProof/>
              </w:rPr>
              <w:t>7.</w:t>
            </w:r>
            <w:r>
              <w:rPr>
                <w:rFonts w:asciiTheme="minorHAnsi" w:eastAsiaTheme="minorEastAsia" w:hAnsiTheme="minorHAnsi" w:cstheme="minorBidi"/>
                <w:b w:val="0"/>
                <w:bCs w:val="0"/>
                <w:caps w:val="0"/>
                <w:noProof/>
                <w:sz w:val="24"/>
                <w:szCs w:val="24"/>
                <w:lang w:val="en-CA" w:eastAsia="en-US"/>
              </w:rPr>
              <w:tab/>
            </w:r>
            <w:r w:rsidRPr="00E0467E">
              <w:rPr>
                <w:rStyle w:val="Lienhypertexte"/>
                <w:noProof/>
              </w:rPr>
              <w:t>Procédures sécuritaires</w:t>
            </w:r>
            <w:r>
              <w:rPr>
                <w:noProof/>
                <w:webHidden/>
              </w:rPr>
              <w:tab/>
            </w:r>
            <w:r>
              <w:rPr>
                <w:noProof/>
                <w:webHidden/>
              </w:rPr>
              <w:fldChar w:fldCharType="begin"/>
            </w:r>
            <w:r>
              <w:rPr>
                <w:noProof/>
                <w:webHidden/>
              </w:rPr>
              <w:instrText xml:space="preserve"> PAGEREF _Toc143845841 \h </w:instrText>
            </w:r>
            <w:r>
              <w:rPr>
                <w:noProof/>
                <w:webHidden/>
              </w:rPr>
            </w:r>
            <w:r>
              <w:rPr>
                <w:noProof/>
                <w:webHidden/>
              </w:rPr>
              <w:fldChar w:fldCharType="separate"/>
            </w:r>
            <w:r>
              <w:rPr>
                <w:noProof/>
                <w:webHidden/>
              </w:rPr>
              <w:t>13</w:t>
            </w:r>
            <w:r>
              <w:rPr>
                <w:noProof/>
                <w:webHidden/>
              </w:rPr>
              <w:fldChar w:fldCharType="end"/>
            </w:r>
          </w:hyperlink>
        </w:p>
        <w:p w14:paraId="02BF0D04" w14:textId="22D7BD51" w:rsidR="0010365E" w:rsidRDefault="0010365E">
          <w:pPr>
            <w:pStyle w:val="TM1"/>
            <w:rPr>
              <w:rFonts w:asciiTheme="minorHAnsi" w:eastAsiaTheme="minorEastAsia" w:hAnsiTheme="minorHAnsi" w:cstheme="minorBidi"/>
              <w:b w:val="0"/>
              <w:bCs w:val="0"/>
              <w:caps w:val="0"/>
              <w:noProof/>
              <w:sz w:val="24"/>
              <w:szCs w:val="24"/>
              <w:lang w:val="en-CA" w:eastAsia="en-US"/>
            </w:rPr>
          </w:pPr>
          <w:hyperlink w:anchor="_Toc143845842" w:history="1">
            <w:r w:rsidRPr="00E0467E">
              <w:rPr>
                <w:rStyle w:val="Lienhypertexte"/>
                <w:noProof/>
              </w:rPr>
              <w:t>8.</w:t>
            </w:r>
            <w:r>
              <w:rPr>
                <w:rFonts w:asciiTheme="minorHAnsi" w:eastAsiaTheme="minorEastAsia" w:hAnsiTheme="minorHAnsi" w:cstheme="minorBidi"/>
                <w:b w:val="0"/>
                <w:bCs w:val="0"/>
                <w:caps w:val="0"/>
                <w:noProof/>
                <w:sz w:val="24"/>
                <w:szCs w:val="24"/>
                <w:lang w:val="en-CA" w:eastAsia="en-US"/>
              </w:rPr>
              <w:tab/>
            </w:r>
            <w:r w:rsidRPr="00E0467E">
              <w:rPr>
                <w:rStyle w:val="Lienhypertexte"/>
                <w:noProof/>
              </w:rPr>
              <w:t>Plan de sauvetage</w:t>
            </w:r>
            <w:r>
              <w:rPr>
                <w:noProof/>
                <w:webHidden/>
              </w:rPr>
              <w:tab/>
            </w:r>
            <w:r>
              <w:rPr>
                <w:noProof/>
                <w:webHidden/>
              </w:rPr>
              <w:fldChar w:fldCharType="begin"/>
            </w:r>
            <w:r>
              <w:rPr>
                <w:noProof/>
                <w:webHidden/>
              </w:rPr>
              <w:instrText xml:space="preserve"> PAGEREF _Toc143845842 \h </w:instrText>
            </w:r>
            <w:r>
              <w:rPr>
                <w:noProof/>
                <w:webHidden/>
              </w:rPr>
            </w:r>
            <w:r>
              <w:rPr>
                <w:noProof/>
                <w:webHidden/>
              </w:rPr>
              <w:fldChar w:fldCharType="separate"/>
            </w:r>
            <w:r>
              <w:rPr>
                <w:noProof/>
                <w:webHidden/>
              </w:rPr>
              <w:t>15</w:t>
            </w:r>
            <w:r>
              <w:rPr>
                <w:noProof/>
                <w:webHidden/>
              </w:rPr>
              <w:fldChar w:fldCharType="end"/>
            </w:r>
          </w:hyperlink>
        </w:p>
        <w:p w14:paraId="76630BEC" w14:textId="2D51E5F1" w:rsidR="0010365E" w:rsidRDefault="0010365E">
          <w:pPr>
            <w:pStyle w:val="TM2"/>
            <w:rPr>
              <w:rFonts w:asciiTheme="minorHAnsi" w:eastAsiaTheme="minorEastAsia" w:hAnsiTheme="minorHAnsi" w:cstheme="minorBidi"/>
              <w:smallCaps w:val="0"/>
              <w:noProof/>
              <w:sz w:val="24"/>
              <w:szCs w:val="24"/>
              <w:lang w:val="en-CA" w:eastAsia="en-US"/>
            </w:rPr>
          </w:pPr>
          <w:hyperlink w:anchor="_Toc143845843" w:history="1">
            <w:r w:rsidRPr="00E0467E">
              <w:rPr>
                <w:rStyle w:val="Lienhypertexte"/>
                <w:noProof/>
              </w:rPr>
              <w:t>8.1</w:t>
            </w:r>
            <w:r>
              <w:rPr>
                <w:rFonts w:asciiTheme="minorHAnsi" w:eastAsiaTheme="minorEastAsia" w:hAnsiTheme="minorHAnsi" w:cstheme="minorBidi"/>
                <w:smallCaps w:val="0"/>
                <w:noProof/>
                <w:sz w:val="24"/>
                <w:szCs w:val="24"/>
                <w:lang w:val="en-CA" w:eastAsia="en-US"/>
              </w:rPr>
              <w:tab/>
            </w:r>
            <w:r w:rsidRPr="00E0467E">
              <w:rPr>
                <w:rStyle w:val="Lienhypertexte"/>
                <w:noProof/>
              </w:rPr>
              <w:t>rédiger/mettre à jour le plan de sauvetage</w:t>
            </w:r>
            <w:r>
              <w:rPr>
                <w:noProof/>
                <w:webHidden/>
              </w:rPr>
              <w:tab/>
            </w:r>
            <w:r>
              <w:rPr>
                <w:noProof/>
                <w:webHidden/>
              </w:rPr>
              <w:fldChar w:fldCharType="begin"/>
            </w:r>
            <w:r>
              <w:rPr>
                <w:noProof/>
                <w:webHidden/>
              </w:rPr>
              <w:instrText xml:space="preserve"> PAGEREF _Toc143845843 \h </w:instrText>
            </w:r>
            <w:r>
              <w:rPr>
                <w:noProof/>
                <w:webHidden/>
              </w:rPr>
            </w:r>
            <w:r>
              <w:rPr>
                <w:noProof/>
                <w:webHidden/>
              </w:rPr>
              <w:fldChar w:fldCharType="separate"/>
            </w:r>
            <w:r>
              <w:rPr>
                <w:noProof/>
                <w:webHidden/>
              </w:rPr>
              <w:t>15</w:t>
            </w:r>
            <w:r>
              <w:rPr>
                <w:noProof/>
                <w:webHidden/>
              </w:rPr>
              <w:fldChar w:fldCharType="end"/>
            </w:r>
          </w:hyperlink>
        </w:p>
        <w:p w14:paraId="50CD42CA" w14:textId="7C4D52C5" w:rsidR="0010365E" w:rsidRDefault="0010365E">
          <w:pPr>
            <w:pStyle w:val="TM2"/>
            <w:rPr>
              <w:rFonts w:asciiTheme="minorHAnsi" w:eastAsiaTheme="minorEastAsia" w:hAnsiTheme="minorHAnsi" w:cstheme="minorBidi"/>
              <w:smallCaps w:val="0"/>
              <w:noProof/>
              <w:sz w:val="24"/>
              <w:szCs w:val="24"/>
              <w:lang w:val="en-CA" w:eastAsia="en-US"/>
            </w:rPr>
          </w:pPr>
          <w:hyperlink w:anchor="_Toc143845844" w:history="1">
            <w:r w:rsidRPr="00E0467E">
              <w:rPr>
                <w:rStyle w:val="Lienhypertexte"/>
                <w:noProof/>
              </w:rPr>
              <w:t>8.2</w:t>
            </w:r>
            <w:r>
              <w:rPr>
                <w:rFonts w:asciiTheme="minorHAnsi" w:eastAsiaTheme="minorEastAsia" w:hAnsiTheme="minorHAnsi" w:cstheme="minorBidi"/>
                <w:smallCaps w:val="0"/>
                <w:noProof/>
                <w:sz w:val="24"/>
                <w:szCs w:val="24"/>
                <w:lang w:val="en-CA" w:eastAsia="en-US"/>
              </w:rPr>
              <w:tab/>
            </w:r>
            <w:r w:rsidRPr="00E0467E">
              <w:rPr>
                <w:rStyle w:val="Lienhypertexte"/>
                <w:noProof/>
              </w:rPr>
              <w:t>Élaborer/mettre à jour la formation</w:t>
            </w:r>
            <w:r>
              <w:rPr>
                <w:noProof/>
                <w:webHidden/>
              </w:rPr>
              <w:tab/>
            </w:r>
            <w:r>
              <w:rPr>
                <w:noProof/>
                <w:webHidden/>
              </w:rPr>
              <w:fldChar w:fldCharType="begin"/>
            </w:r>
            <w:r>
              <w:rPr>
                <w:noProof/>
                <w:webHidden/>
              </w:rPr>
              <w:instrText xml:space="preserve"> PAGEREF _Toc143845844 \h </w:instrText>
            </w:r>
            <w:r>
              <w:rPr>
                <w:noProof/>
                <w:webHidden/>
              </w:rPr>
            </w:r>
            <w:r>
              <w:rPr>
                <w:noProof/>
                <w:webHidden/>
              </w:rPr>
              <w:fldChar w:fldCharType="separate"/>
            </w:r>
            <w:r>
              <w:rPr>
                <w:noProof/>
                <w:webHidden/>
              </w:rPr>
              <w:t>15</w:t>
            </w:r>
            <w:r>
              <w:rPr>
                <w:noProof/>
                <w:webHidden/>
              </w:rPr>
              <w:fldChar w:fldCharType="end"/>
            </w:r>
          </w:hyperlink>
        </w:p>
        <w:p w14:paraId="6D881912" w14:textId="01E51B55" w:rsidR="0010365E" w:rsidRDefault="0010365E">
          <w:pPr>
            <w:pStyle w:val="TM2"/>
            <w:rPr>
              <w:rFonts w:asciiTheme="minorHAnsi" w:eastAsiaTheme="minorEastAsia" w:hAnsiTheme="minorHAnsi" w:cstheme="minorBidi"/>
              <w:smallCaps w:val="0"/>
              <w:noProof/>
              <w:sz w:val="24"/>
              <w:szCs w:val="24"/>
              <w:lang w:val="en-CA" w:eastAsia="en-US"/>
            </w:rPr>
          </w:pPr>
          <w:hyperlink w:anchor="_Toc143845845" w:history="1">
            <w:r w:rsidRPr="00E0467E">
              <w:rPr>
                <w:rStyle w:val="Lienhypertexte"/>
                <w:noProof/>
              </w:rPr>
              <w:t>8.3</w:t>
            </w:r>
            <w:r>
              <w:rPr>
                <w:rFonts w:asciiTheme="minorHAnsi" w:eastAsiaTheme="minorEastAsia" w:hAnsiTheme="minorHAnsi" w:cstheme="minorBidi"/>
                <w:smallCaps w:val="0"/>
                <w:noProof/>
                <w:sz w:val="24"/>
                <w:szCs w:val="24"/>
                <w:lang w:val="en-CA" w:eastAsia="en-US"/>
              </w:rPr>
              <w:tab/>
            </w:r>
            <w:r w:rsidRPr="00E0467E">
              <w:rPr>
                <w:rStyle w:val="Lienhypertexte"/>
                <w:noProof/>
              </w:rPr>
              <w:t>Éprouver le plan de sauvetage</w:t>
            </w:r>
            <w:r>
              <w:rPr>
                <w:noProof/>
                <w:webHidden/>
              </w:rPr>
              <w:tab/>
            </w:r>
            <w:r>
              <w:rPr>
                <w:noProof/>
                <w:webHidden/>
              </w:rPr>
              <w:fldChar w:fldCharType="begin"/>
            </w:r>
            <w:r>
              <w:rPr>
                <w:noProof/>
                <w:webHidden/>
              </w:rPr>
              <w:instrText xml:space="preserve"> PAGEREF _Toc143845845 \h </w:instrText>
            </w:r>
            <w:r>
              <w:rPr>
                <w:noProof/>
                <w:webHidden/>
              </w:rPr>
            </w:r>
            <w:r>
              <w:rPr>
                <w:noProof/>
                <w:webHidden/>
              </w:rPr>
              <w:fldChar w:fldCharType="separate"/>
            </w:r>
            <w:r>
              <w:rPr>
                <w:noProof/>
                <w:webHidden/>
              </w:rPr>
              <w:t>16</w:t>
            </w:r>
            <w:r>
              <w:rPr>
                <w:noProof/>
                <w:webHidden/>
              </w:rPr>
              <w:fldChar w:fldCharType="end"/>
            </w:r>
          </w:hyperlink>
        </w:p>
        <w:p w14:paraId="1936B1A4" w14:textId="3339BFD5" w:rsidR="0010365E" w:rsidRDefault="0010365E">
          <w:pPr>
            <w:pStyle w:val="TM2"/>
            <w:rPr>
              <w:rFonts w:asciiTheme="minorHAnsi" w:eastAsiaTheme="minorEastAsia" w:hAnsiTheme="minorHAnsi" w:cstheme="minorBidi"/>
              <w:smallCaps w:val="0"/>
              <w:noProof/>
              <w:sz w:val="24"/>
              <w:szCs w:val="24"/>
              <w:lang w:val="en-CA" w:eastAsia="en-US"/>
            </w:rPr>
          </w:pPr>
          <w:hyperlink w:anchor="_Toc143845846" w:history="1">
            <w:r w:rsidRPr="00E0467E">
              <w:rPr>
                <w:rStyle w:val="Lienhypertexte"/>
                <w:noProof/>
              </w:rPr>
              <w:t>8.4</w:t>
            </w:r>
            <w:r>
              <w:rPr>
                <w:rFonts w:asciiTheme="minorHAnsi" w:eastAsiaTheme="minorEastAsia" w:hAnsiTheme="minorHAnsi" w:cstheme="minorBidi"/>
                <w:smallCaps w:val="0"/>
                <w:noProof/>
                <w:sz w:val="24"/>
                <w:szCs w:val="24"/>
                <w:lang w:val="en-CA" w:eastAsia="en-US"/>
              </w:rPr>
              <w:tab/>
            </w:r>
            <w:r w:rsidRPr="00E0467E">
              <w:rPr>
                <w:rStyle w:val="Lienhypertexte"/>
                <w:noProof/>
              </w:rPr>
              <w:t>Élaborer/mettre à jour les autres procédures d’urgence</w:t>
            </w:r>
            <w:r>
              <w:rPr>
                <w:noProof/>
                <w:webHidden/>
              </w:rPr>
              <w:tab/>
            </w:r>
            <w:r>
              <w:rPr>
                <w:noProof/>
                <w:webHidden/>
              </w:rPr>
              <w:fldChar w:fldCharType="begin"/>
            </w:r>
            <w:r>
              <w:rPr>
                <w:noProof/>
                <w:webHidden/>
              </w:rPr>
              <w:instrText xml:space="preserve"> PAGEREF _Toc143845846 \h </w:instrText>
            </w:r>
            <w:r>
              <w:rPr>
                <w:noProof/>
                <w:webHidden/>
              </w:rPr>
            </w:r>
            <w:r>
              <w:rPr>
                <w:noProof/>
                <w:webHidden/>
              </w:rPr>
              <w:fldChar w:fldCharType="separate"/>
            </w:r>
            <w:r>
              <w:rPr>
                <w:noProof/>
                <w:webHidden/>
              </w:rPr>
              <w:t>16</w:t>
            </w:r>
            <w:r>
              <w:rPr>
                <w:noProof/>
                <w:webHidden/>
              </w:rPr>
              <w:fldChar w:fldCharType="end"/>
            </w:r>
          </w:hyperlink>
        </w:p>
        <w:p w14:paraId="62499BD8" w14:textId="2F75E7D4" w:rsidR="0010365E" w:rsidRDefault="0010365E">
          <w:pPr>
            <w:pStyle w:val="TM1"/>
            <w:rPr>
              <w:rFonts w:asciiTheme="minorHAnsi" w:eastAsiaTheme="minorEastAsia" w:hAnsiTheme="minorHAnsi" w:cstheme="minorBidi"/>
              <w:b w:val="0"/>
              <w:bCs w:val="0"/>
              <w:caps w:val="0"/>
              <w:noProof/>
              <w:sz w:val="24"/>
              <w:szCs w:val="24"/>
              <w:lang w:val="en-CA" w:eastAsia="en-US"/>
            </w:rPr>
          </w:pPr>
          <w:hyperlink w:anchor="_Toc143845847" w:history="1">
            <w:r w:rsidRPr="00E0467E">
              <w:rPr>
                <w:rStyle w:val="Lienhypertexte"/>
                <w:noProof/>
              </w:rPr>
              <w:t>9.</w:t>
            </w:r>
            <w:r>
              <w:rPr>
                <w:rFonts w:asciiTheme="minorHAnsi" w:eastAsiaTheme="minorEastAsia" w:hAnsiTheme="minorHAnsi" w:cstheme="minorBidi"/>
                <w:b w:val="0"/>
                <w:bCs w:val="0"/>
                <w:caps w:val="0"/>
                <w:noProof/>
                <w:sz w:val="24"/>
                <w:szCs w:val="24"/>
                <w:lang w:val="en-CA" w:eastAsia="en-US"/>
              </w:rPr>
              <w:tab/>
            </w:r>
            <w:r w:rsidRPr="00E0467E">
              <w:rPr>
                <w:rStyle w:val="Lienhypertexte"/>
                <w:noProof/>
              </w:rPr>
              <w:t>Équipements de protection collectifs et individuels</w:t>
            </w:r>
            <w:r>
              <w:rPr>
                <w:noProof/>
                <w:webHidden/>
              </w:rPr>
              <w:tab/>
            </w:r>
            <w:r>
              <w:rPr>
                <w:noProof/>
                <w:webHidden/>
              </w:rPr>
              <w:fldChar w:fldCharType="begin"/>
            </w:r>
            <w:r>
              <w:rPr>
                <w:noProof/>
                <w:webHidden/>
              </w:rPr>
              <w:instrText xml:space="preserve"> PAGEREF _Toc143845847 \h </w:instrText>
            </w:r>
            <w:r>
              <w:rPr>
                <w:noProof/>
                <w:webHidden/>
              </w:rPr>
            </w:r>
            <w:r>
              <w:rPr>
                <w:noProof/>
                <w:webHidden/>
              </w:rPr>
              <w:fldChar w:fldCharType="separate"/>
            </w:r>
            <w:r>
              <w:rPr>
                <w:noProof/>
                <w:webHidden/>
              </w:rPr>
              <w:t>17</w:t>
            </w:r>
            <w:r>
              <w:rPr>
                <w:noProof/>
                <w:webHidden/>
              </w:rPr>
              <w:fldChar w:fldCharType="end"/>
            </w:r>
          </w:hyperlink>
        </w:p>
        <w:p w14:paraId="3CECA14F" w14:textId="2934BA02" w:rsidR="0010365E" w:rsidRDefault="0010365E">
          <w:pPr>
            <w:pStyle w:val="TM2"/>
            <w:rPr>
              <w:rFonts w:asciiTheme="minorHAnsi" w:eastAsiaTheme="minorEastAsia" w:hAnsiTheme="minorHAnsi" w:cstheme="minorBidi"/>
              <w:smallCaps w:val="0"/>
              <w:noProof/>
              <w:sz w:val="24"/>
              <w:szCs w:val="24"/>
              <w:lang w:val="en-CA" w:eastAsia="en-US"/>
            </w:rPr>
          </w:pPr>
          <w:hyperlink w:anchor="_Toc143845848" w:history="1">
            <w:r w:rsidRPr="00E0467E">
              <w:rPr>
                <w:rStyle w:val="Lienhypertexte"/>
                <w:noProof/>
              </w:rPr>
              <w:t>9.1</w:t>
            </w:r>
            <w:r>
              <w:rPr>
                <w:rFonts w:asciiTheme="minorHAnsi" w:eastAsiaTheme="minorEastAsia" w:hAnsiTheme="minorHAnsi" w:cstheme="minorBidi"/>
                <w:smallCaps w:val="0"/>
                <w:noProof/>
                <w:sz w:val="24"/>
                <w:szCs w:val="24"/>
                <w:lang w:val="en-CA" w:eastAsia="en-US"/>
              </w:rPr>
              <w:tab/>
            </w:r>
            <w:r w:rsidRPr="00E0467E">
              <w:rPr>
                <w:rStyle w:val="Lienhypertexte"/>
                <w:noProof/>
              </w:rPr>
              <w:t>Dresser la liste des équipements nécessaires</w:t>
            </w:r>
            <w:r>
              <w:rPr>
                <w:noProof/>
                <w:webHidden/>
              </w:rPr>
              <w:tab/>
            </w:r>
            <w:r>
              <w:rPr>
                <w:noProof/>
                <w:webHidden/>
              </w:rPr>
              <w:fldChar w:fldCharType="begin"/>
            </w:r>
            <w:r>
              <w:rPr>
                <w:noProof/>
                <w:webHidden/>
              </w:rPr>
              <w:instrText xml:space="preserve"> PAGEREF _Toc143845848 \h </w:instrText>
            </w:r>
            <w:r>
              <w:rPr>
                <w:noProof/>
                <w:webHidden/>
              </w:rPr>
            </w:r>
            <w:r>
              <w:rPr>
                <w:noProof/>
                <w:webHidden/>
              </w:rPr>
              <w:fldChar w:fldCharType="separate"/>
            </w:r>
            <w:r>
              <w:rPr>
                <w:noProof/>
                <w:webHidden/>
              </w:rPr>
              <w:t>17</w:t>
            </w:r>
            <w:r>
              <w:rPr>
                <w:noProof/>
                <w:webHidden/>
              </w:rPr>
              <w:fldChar w:fldCharType="end"/>
            </w:r>
          </w:hyperlink>
        </w:p>
        <w:p w14:paraId="5CF5267E" w14:textId="0DD3749D" w:rsidR="0010365E" w:rsidRDefault="0010365E">
          <w:pPr>
            <w:pStyle w:val="TM2"/>
            <w:rPr>
              <w:rFonts w:asciiTheme="minorHAnsi" w:eastAsiaTheme="minorEastAsia" w:hAnsiTheme="minorHAnsi" w:cstheme="minorBidi"/>
              <w:smallCaps w:val="0"/>
              <w:noProof/>
              <w:sz w:val="24"/>
              <w:szCs w:val="24"/>
              <w:lang w:val="en-CA" w:eastAsia="en-US"/>
            </w:rPr>
          </w:pPr>
          <w:hyperlink w:anchor="_Toc143845849" w:history="1">
            <w:r w:rsidRPr="00E0467E">
              <w:rPr>
                <w:rStyle w:val="Lienhypertexte"/>
                <w:noProof/>
              </w:rPr>
              <w:t>9.3</w:t>
            </w:r>
            <w:r>
              <w:rPr>
                <w:rFonts w:asciiTheme="minorHAnsi" w:eastAsiaTheme="minorEastAsia" w:hAnsiTheme="minorHAnsi" w:cstheme="minorBidi"/>
                <w:smallCaps w:val="0"/>
                <w:noProof/>
                <w:sz w:val="24"/>
                <w:szCs w:val="24"/>
                <w:lang w:val="en-CA" w:eastAsia="en-US"/>
              </w:rPr>
              <w:tab/>
            </w:r>
            <w:r w:rsidRPr="00E0467E">
              <w:rPr>
                <w:rStyle w:val="Lienhypertexte"/>
                <w:noProof/>
              </w:rPr>
              <w:t>Désigner les personnes responsables  de l’entretien préventif des équipements</w:t>
            </w:r>
            <w:r>
              <w:rPr>
                <w:noProof/>
                <w:webHidden/>
              </w:rPr>
              <w:tab/>
            </w:r>
            <w:r>
              <w:rPr>
                <w:noProof/>
                <w:webHidden/>
              </w:rPr>
              <w:fldChar w:fldCharType="begin"/>
            </w:r>
            <w:r>
              <w:rPr>
                <w:noProof/>
                <w:webHidden/>
              </w:rPr>
              <w:instrText xml:space="preserve"> PAGEREF _Toc143845849 \h </w:instrText>
            </w:r>
            <w:r>
              <w:rPr>
                <w:noProof/>
                <w:webHidden/>
              </w:rPr>
            </w:r>
            <w:r>
              <w:rPr>
                <w:noProof/>
                <w:webHidden/>
              </w:rPr>
              <w:fldChar w:fldCharType="separate"/>
            </w:r>
            <w:r>
              <w:rPr>
                <w:noProof/>
                <w:webHidden/>
              </w:rPr>
              <w:t>17</w:t>
            </w:r>
            <w:r>
              <w:rPr>
                <w:noProof/>
                <w:webHidden/>
              </w:rPr>
              <w:fldChar w:fldCharType="end"/>
            </w:r>
          </w:hyperlink>
        </w:p>
        <w:p w14:paraId="43D2A4F6" w14:textId="2311ABEC" w:rsidR="0010365E" w:rsidRDefault="0010365E">
          <w:pPr>
            <w:pStyle w:val="TM2"/>
            <w:rPr>
              <w:rFonts w:asciiTheme="minorHAnsi" w:eastAsiaTheme="minorEastAsia" w:hAnsiTheme="minorHAnsi" w:cstheme="minorBidi"/>
              <w:smallCaps w:val="0"/>
              <w:noProof/>
              <w:sz w:val="24"/>
              <w:szCs w:val="24"/>
              <w:lang w:val="en-CA" w:eastAsia="en-US"/>
            </w:rPr>
          </w:pPr>
          <w:hyperlink w:anchor="_Toc143845850" w:history="1">
            <w:r w:rsidRPr="00E0467E">
              <w:rPr>
                <w:rStyle w:val="Lienhypertexte"/>
                <w:noProof/>
              </w:rPr>
              <w:t>9.4</w:t>
            </w:r>
            <w:r>
              <w:rPr>
                <w:rFonts w:asciiTheme="minorHAnsi" w:eastAsiaTheme="minorEastAsia" w:hAnsiTheme="minorHAnsi" w:cstheme="minorBidi"/>
                <w:smallCaps w:val="0"/>
                <w:noProof/>
                <w:sz w:val="24"/>
                <w:szCs w:val="24"/>
                <w:lang w:val="en-CA" w:eastAsia="en-US"/>
              </w:rPr>
              <w:tab/>
            </w:r>
            <w:r w:rsidRPr="00E0467E">
              <w:rPr>
                <w:rStyle w:val="Lienhypertexte"/>
                <w:noProof/>
              </w:rPr>
              <w:t>Programmer les seuils d’alarme des détecteurs de gaz</w:t>
            </w:r>
            <w:r>
              <w:rPr>
                <w:noProof/>
                <w:webHidden/>
              </w:rPr>
              <w:tab/>
            </w:r>
            <w:r>
              <w:rPr>
                <w:noProof/>
                <w:webHidden/>
              </w:rPr>
              <w:fldChar w:fldCharType="begin"/>
            </w:r>
            <w:r>
              <w:rPr>
                <w:noProof/>
                <w:webHidden/>
              </w:rPr>
              <w:instrText xml:space="preserve"> PAGEREF _Toc143845850 \h </w:instrText>
            </w:r>
            <w:r>
              <w:rPr>
                <w:noProof/>
                <w:webHidden/>
              </w:rPr>
            </w:r>
            <w:r>
              <w:rPr>
                <w:noProof/>
                <w:webHidden/>
              </w:rPr>
              <w:fldChar w:fldCharType="separate"/>
            </w:r>
            <w:r>
              <w:rPr>
                <w:noProof/>
                <w:webHidden/>
              </w:rPr>
              <w:t>18</w:t>
            </w:r>
            <w:r>
              <w:rPr>
                <w:noProof/>
                <w:webHidden/>
              </w:rPr>
              <w:fldChar w:fldCharType="end"/>
            </w:r>
          </w:hyperlink>
        </w:p>
        <w:p w14:paraId="030F4E82" w14:textId="7E62283D" w:rsidR="0010365E" w:rsidRDefault="0010365E">
          <w:pPr>
            <w:pStyle w:val="TM1"/>
            <w:rPr>
              <w:rFonts w:asciiTheme="minorHAnsi" w:eastAsiaTheme="minorEastAsia" w:hAnsiTheme="minorHAnsi" w:cstheme="minorBidi"/>
              <w:b w:val="0"/>
              <w:bCs w:val="0"/>
              <w:caps w:val="0"/>
              <w:noProof/>
              <w:sz w:val="24"/>
              <w:szCs w:val="24"/>
              <w:lang w:val="en-CA" w:eastAsia="en-US"/>
            </w:rPr>
          </w:pPr>
          <w:hyperlink w:anchor="_Toc143845851" w:history="1">
            <w:r w:rsidRPr="00E0467E">
              <w:rPr>
                <w:rStyle w:val="Lienhypertexte"/>
                <w:noProof/>
              </w:rPr>
              <w:t>10.</w:t>
            </w:r>
            <w:r>
              <w:rPr>
                <w:rFonts w:asciiTheme="minorHAnsi" w:eastAsiaTheme="minorEastAsia" w:hAnsiTheme="minorHAnsi" w:cstheme="minorBidi"/>
                <w:b w:val="0"/>
                <w:bCs w:val="0"/>
                <w:caps w:val="0"/>
                <w:noProof/>
                <w:sz w:val="24"/>
                <w:szCs w:val="24"/>
                <w:lang w:val="en-CA" w:eastAsia="en-US"/>
              </w:rPr>
              <w:tab/>
            </w:r>
            <w:r w:rsidRPr="00E0467E">
              <w:rPr>
                <w:rStyle w:val="Lienhypertexte"/>
                <w:noProof/>
              </w:rPr>
              <w:t>Formation et information</w:t>
            </w:r>
            <w:r>
              <w:rPr>
                <w:noProof/>
                <w:webHidden/>
              </w:rPr>
              <w:tab/>
            </w:r>
            <w:r>
              <w:rPr>
                <w:noProof/>
                <w:webHidden/>
              </w:rPr>
              <w:fldChar w:fldCharType="begin"/>
            </w:r>
            <w:r>
              <w:rPr>
                <w:noProof/>
                <w:webHidden/>
              </w:rPr>
              <w:instrText xml:space="preserve"> PAGEREF _Toc143845851 \h </w:instrText>
            </w:r>
            <w:r>
              <w:rPr>
                <w:noProof/>
                <w:webHidden/>
              </w:rPr>
            </w:r>
            <w:r>
              <w:rPr>
                <w:noProof/>
                <w:webHidden/>
              </w:rPr>
              <w:fldChar w:fldCharType="separate"/>
            </w:r>
            <w:r>
              <w:rPr>
                <w:noProof/>
                <w:webHidden/>
              </w:rPr>
              <w:t>18</w:t>
            </w:r>
            <w:r>
              <w:rPr>
                <w:noProof/>
                <w:webHidden/>
              </w:rPr>
              <w:fldChar w:fldCharType="end"/>
            </w:r>
          </w:hyperlink>
        </w:p>
        <w:p w14:paraId="7D437C3B" w14:textId="42264BDC" w:rsidR="0010365E" w:rsidRDefault="0010365E">
          <w:pPr>
            <w:pStyle w:val="TM2"/>
            <w:rPr>
              <w:rFonts w:asciiTheme="minorHAnsi" w:eastAsiaTheme="minorEastAsia" w:hAnsiTheme="minorHAnsi" w:cstheme="minorBidi"/>
              <w:smallCaps w:val="0"/>
              <w:noProof/>
              <w:sz w:val="24"/>
              <w:szCs w:val="24"/>
              <w:lang w:val="en-CA" w:eastAsia="en-US"/>
            </w:rPr>
          </w:pPr>
          <w:hyperlink w:anchor="_Toc143845852" w:history="1">
            <w:r w:rsidRPr="00E0467E">
              <w:rPr>
                <w:rStyle w:val="Lienhypertexte"/>
                <w:noProof/>
              </w:rPr>
              <w:t>10.1</w:t>
            </w:r>
            <w:r>
              <w:rPr>
                <w:rFonts w:asciiTheme="minorHAnsi" w:eastAsiaTheme="minorEastAsia" w:hAnsiTheme="minorHAnsi" w:cstheme="minorBidi"/>
                <w:smallCaps w:val="0"/>
                <w:noProof/>
                <w:sz w:val="24"/>
                <w:szCs w:val="24"/>
                <w:lang w:val="en-CA" w:eastAsia="en-US"/>
              </w:rPr>
              <w:tab/>
            </w:r>
            <w:r w:rsidRPr="00E0467E">
              <w:rPr>
                <w:rStyle w:val="Lienhypertexte"/>
                <w:noProof/>
              </w:rPr>
              <w:t>Formation des gestionnaires ainsi que des travailleuses et des travailleurs</w:t>
            </w:r>
            <w:r>
              <w:rPr>
                <w:noProof/>
                <w:webHidden/>
              </w:rPr>
              <w:tab/>
            </w:r>
            <w:r>
              <w:rPr>
                <w:noProof/>
                <w:webHidden/>
              </w:rPr>
              <w:fldChar w:fldCharType="begin"/>
            </w:r>
            <w:r>
              <w:rPr>
                <w:noProof/>
                <w:webHidden/>
              </w:rPr>
              <w:instrText xml:space="preserve"> PAGEREF _Toc143845852 \h </w:instrText>
            </w:r>
            <w:r>
              <w:rPr>
                <w:noProof/>
                <w:webHidden/>
              </w:rPr>
            </w:r>
            <w:r>
              <w:rPr>
                <w:noProof/>
                <w:webHidden/>
              </w:rPr>
              <w:fldChar w:fldCharType="separate"/>
            </w:r>
            <w:r>
              <w:rPr>
                <w:noProof/>
                <w:webHidden/>
              </w:rPr>
              <w:t>19</w:t>
            </w:r>
            <w:r>
              <w:rPr>
                <w:noProof/>
                <w:webHidden/>
              </w:rPr>
              <w:fldChar w:fldCharType="end"/>
            </w:r>
          </w:hyperlink>
        </w:p>
        <w:p w14:paraId="2101EDAE" w14:textId="09A66E24" w:rsidR="0010365E" w:rsidRDefault="0010365E">
          <w:pPr>
            <w:pStyle w:val="TM2"/>
            <w:rPr>
              <w:rFonts w:asciiTheme="minorHAnsi" w:eastAsiaTheme="minorEastAsia" w:hAnsiTheme="minorHAnsi" w:cstheme="minorBidi"/>
              <w:smallCaps w:val="0"/>
              <w:noProof/>
              <w:sz w:val="24"/>
              <w:szCs w:val="24"/>
              <w:lang w:val="en-CA" w:eastAsia="en-US"/>
            </w:rPr>
          </w:pPr>
          <w:hyperlink w:anchor="_Toc143845853" w:history="1">
            <w:r w:rsidRPr="00E0467E">
              <w:rPr>
                <w:rStyle w:val="Lienhypertexte"/>
                <w:noProof/>
              </w:rPr>
              <w:t>10.2</w:t>
            </w:r>
            <w:r>
              <w:rPr>
                <w:rFonts w:asciiTheme="minorHAnsi" w:eastAsiaTheme="minorEastAsia" w:hAnsiTheme="minorHAnsi" w:cstheme="minorBidi"/>
                <w:smallCaps w:val="0"/>
                <w:noProof/>
                <w:sz w:val="24"/>
                <w:szCs w:val="24"/>
                <w:lang w:val="en-CA" w:eastAsia="en-US"/>
              </w:rPr>
              <w:tab/>
            </w:r>
            <w:r w:rsidRPr="00E0467E">
              <w:rPr>
                <w:rStyle w:val="Lienhypertexte"/>
                <w:noProof/>
              </w:rPr>
              <w:t>Formation pour les travailleuses et les travailleurs affectés aux opérations de sauvetage</w:t>
            </w:r>
            <w:r>
              <w:rPr>
                <w:noProof/>
                <w:webHidden/>
              </w:rPr>
              <w:tab/>
            </w:r>
            <w:r>
              <w:rPr>
                <w:noProof/>
                <w:webHidden/>
              </w:rPr>
              <w:fldChar w:fldCharType="begin"/>
            </w:r>
            <w:r>
              <w:rPr>
                <w:noProof/>
                <w:webHidden/>
              </w:rPr>
              <w:instrText xml:space="preserve"> PAGEREF _Toc143845853 \h </w:instrText>
            </w:r>
            <w:r>
              <w:rPr>
                <w:noProof/>
                <w:webHidden/>
              </w:rPr>
            </w:r>
            <w:r>
              <w:rPr>
                <w:noProof/>
                <w:webHidden/>
              </w:rPr>
              <w:fldChar w:fldCharType="separate"/>
            </w:r>
            <w:r>
              <w:rPr>
                <w:noProof/>
                <w:webHidden/>
              </w:rPr>
              <w:t>19</w:t>
            </w:r>
            <w:r>
              <w:rPr>
                <w:noProof/>
                <w:webHidden/>
              </w:rPr>
              <w:fldChar w:fldCharType="end"/>
            </w:r>
          </w:hyperlink>
        </w:p>
        <w:p w14:paraId="6207FB8F" w14:textId="14B2E2FE" w:rsidR="0010365E" w:rsidRDefault="0010365E">
          <w:pPr>
            <w:pStyle w:val="TM2"/>
            <w:rPr>
              <w:rFonts w:asciiTheme="minorHAnsi" w:eastAsiaTheme="minorEastAsia" w:hAnsiTheme="minorHAnsi" w:cstheme="minorBidi"/>
              <w:smallCaps w:val="0"/>
              <w:noProof/>
              <w:sz w:val="24"/>
              <w:szCs w:val="24"/>
              <w:lang w:val="en-CA" w:eastAsia="en-US"/>
            </w:rPr>
          </w:pPr>
          <w:hyperlink w:anchor="_Toc143845854" w:history="1">
            <w:r w:rsidRPr="00E0467E">
              <w:rPr>
                <w:rStyle w:val="Lienhypertexte"/>
                <w:noProof/>
              </w:rPr>
              <w:t>10.3</w:t>
            </w:r>
            <w:r>
              <w:rPr>
                <w:rFonts w:asciiTheme="minorHAnsi" w:eastAsiaTheme="minorEastAsia" w:hAnsiTheme="minorHAnsi" w:cstheme="minorBidi"/>
                <w:smallCaps w:val="0"/>
                <w:noProof/>
                <w:sz w:val="24"/>
                <w:szCs w:val="24"/>
                <w:lang w:val="en-CA" w:eastAsia="en-US"/>
              </w:rPr>
              <w:tab/>
            </w:r>
            <w:r w:rsidRPr="00E0467E">
              <w:rPr>
                <w:rStyle w:val="Lienhypertexte"/>
                <w:noProof/>
              </w:rPr>
              <w:t>formations complémentaires aux espaces clos</w:t>
            </w:r>
            <w:r>
              <w:rPr>
                <w:noProof/>
                <w:webHidden/>
              </w:rPr>
              <w:tab/>
            </w:r>
            <w:r>
              <w:rPr>
                <w:noProof/>
                <w:webHidden/>
              </w:rPr>
              <w:fldChar w:fldCharType="begin"/>
            </w:r>
            <w:r>
              <w:rPr>
                <w:noProof/>
                <w:webHidden/>
              </w:rPr>
              <w:instrText xml:space="preserve"> PAGEREF _Toc143845854 \h </w:instrText>
            </w:r>
            <w:r>
              <w:rPr>
                <w:noProof/>
                <w:webHidden/>
              </w:rPr>
            </w:r>
            <w:r>
              <w:rPr>
                <w:noProof/>
                <w:webHidden/>
              </w:rPr>
              <w:fldChar w:fldCharType="separate"/>
            </w:r>
            <w:r>
              <w:rPr>
                <w:noProof/>
                <w:webHidden/>
              </w:rPr>
              <w:t>19</w:t>
            </w:r>
            <w:r>
              <w:rPr>
                <w:noProof/>
                <w:webHidden/>
              </w:rPr>
              <w:fldChar w:fldCharType="end"/>
            </w:r>
          </w:hyperlink>
        </w:p>
        <w:p w14:paraId="674A847F" w14:textId="7CB370B5" w:rsidR="0010365E" w:rsidRDefault="0010365E">
          <w:pPr>
            <w:pStyle w:val="TM2"/>
            <w:rPr>
              <w:rFonts w:asciiTheme="minorHAnsi" w:eastAsiaTheme="minorEastAsia" w:hAnsiTheme="minorHAnsi" w:cstheme="minorBidi"/>
              <w:smallCaps w:val="0"/>
              <w:noProof/>
              <w:sz w:val="24"/>
              <w:szCs w:val="24"/>
              <w:lang w:val="en-CA" w:eastAsia="en-US"/>
            </w:rPr>
          </w:pPr>
          <w:hyperlink w:anchor="_Toc143845855" w:history="1">
            <w:r w:rsidRPr="00E0467E">
              <w:rPr>
                <w:rStyle w:val="Lienhypertexte"/>
                <w:noProof/>
              </w:rPr>
              <w:t>10.4</w:t>
            </w:r>
            <w:r>
              <w:rPr>
                <w:rFonts w:asciiTheme="minorHAnsi" w:eastAsiaTheme="minorEastAsia" w:hAnsiTheme="minorHAnsi" w:cstheme="minorBidi"/>
                <w:smallCaps w:val="0"/>
                <w:noProof/>
                <w:sz w:val="24"/>
                <w:szCs w:val="24"/>
                <w:lang w:val="en-CA" w:eastAsia="en-US"/>
              </w:rPr>
              <w:tab/>
            </w:r>
            <w:r w:rsidRPr="00E0467E">
              <w:rPr>
                <w:rStyle w:val="Lienhypertexte"/>
                <w:noProof/>
              </w:rPr>
              <w:t>registre des formations</w:t>
            </w:r>
            <w:r>
              <w:rPr>
                <w:noProof/>
                <w:webHidden/>
              </w:rPr>
              <w:tab/>
            </w:r>
            <w:r>
              <w:rPr>
                <w:noProof/>
                <w:webHidden/>
              </w:rPr>
              <w:fldChar w:fldCharType="begin"/>
            </w:r>
            <w:r>
              <w:rPr>
                <w:noProof/>
                <w:webHidden/>
              </w:rPr>
              <w:instrText xml:space="preserve"> PAGEREF _Toc143845855 \h </w:instrText>
            </w:r>
            <w:r>
              <w:rPr>
                <w:noProof/>
                <w:webHidden/>
              </w:rPr>
            </w:r>
            <w:r>
              <w:rPr>
                <w:noProof/>
                <w:webHidden/>
              </w:rPr>
              <w:fldChar w:fldCharType="separate"/>
            </w:r>
            <w:r>
              <w:rPr>
                <w:noProof/>
                <w:webHidden/>
              </w:rPr>
              <w:t>20</w:t>
            </w:r>
            <w:r>
              <w:rPr>
                <w:noProof/>
                <w:webHidden/>
              </w:rPr>
              <w:fldChar w:fldCharType="end"/>
            </w:r>
          </w:hyperlink>
        </w:p>
        <w:p w14:paraId="30C9FD64" w14:textId="49EFE43C" w:rsidR="0010365E" w:rsidRDefault="0010365E">
          <w:pPr>
            <w:pStyle w:val="TM1"/>
            <w:rPr>
              <w:rFonts w:asciiTheme="minorHAnsi" w:eastAsiaTheme="minorEastAsia" w:hAnsiTheme="minorHAnsi" w:cstheme="minorBidi"/>
              <w:b w:val="0"/>
              <w:bCs w:val="0"/>
              <w:caps w:val="0"/>
              <w:noProof/>
              <w:sz w:val="24"/>
              <w:szCs w:val="24"/>
              <w:lang w:val="en-CA" w:eastAsia="en-US"/>
            </w:rPr>
          </w:pPr>
          <w:hyperlink w:anchor="_Toc143845856" w:history="1">
            <w:r w:rsidRPr="00E0467E">
              <w:rPr>
                <w:rStyle w:val="Lienhypertexte"/>
                <w:noProof/>
              </w:rPr>
              <w:t>11.</w:t>
            </w:r>
            <w:r>
              <w:rPr>
                <w:rFonts w:asciiTheme="minorHAnsi" w:eastAsiaTheme="minorEastAsia" w:hAnsiTheme="minorHAnsi" w:cstheme="minorBidi"/>
                <w:b w:val="0"/>
                <w:bCs w:val="0"/>
                <w:caps w:val="0"/>
                <w:noProof/>
                <w:sz w:val="24"/>
                <w:szCs w:val="24"/>
                <w:lang w:val="en-CA" w:eastAsia="en-US"/>
              </w:rPr>
              <w:tab/>
            </w:r>
            <w:r w:rsidRPr="00E0467E">
              <w:rPr>
                <w:rStyle w:val="Lienhypertexte"/>
                <w:noProof/>
              </w:rPr>
              <w:t>audits</w:t>
            </w:r>
            <w:r>
              <w:rPr>
                <w:noProof/>
                <w:webHidden/>
              </w:rPr>
              <w:tab/>
            </w:r>
            <w:r>
              <w:rPr>
                <w:noProof/>
                <w:webHidden/>
              </w:rPr>
              <w:fldChar w:fldCharType="begin"/>
            </w:r>
            <w:r>
              <w:rPr>
                <w:noProof/>
                <w:webHidden/>
              </w:rPr>
              <w:instrText xml:space="preserve"> PAGEREF _Toc143845856 \h </w:instrText>
            </w:r>
            <w:r>
              <w:rPr>
                <w:noProof/>
                <w:webHidden/>
              </w:rPr>
            </w:r>
            <w:r>
              <w:rPr>
                <w:noProof/>
                <w:webHidden/>
              </w:rPr>
              <w:fldChar w:fldCharType="separate"/>
            </w:r>
            <w:r>
              <w:rPr>
                <w:noProof/>
                <w:webHidden/>
              </w:rPr>
              <w:t>20</w:t>
            </w:r>
            <w:r>
              <w:rPr>
                <w:noProof/>
                <w:webHidden/>
              </w:rPr>
              <w:fldChar w:fldCharType="end"/>
            </w:r>
          </w:hyperlink>
        </w:p>
        <w:p w14:paraId="500AA577" w14:textId="58D85571" w:rsidR="0010365E" w:rsidRDefault="0010365E">
          <w:pPr>
            <w:pStyle w:val="TM1"/>
            <w:rPr>
              <w:rFonts w:asciiTheme="minorHAnsi" w:eastAsiaTheme="minorEastAsia" w:hAnsiTheme="minorHAnsi" w:cstheme="minorBidi"/>
              <w:b w:val="0"/>
              <w:bCs w:val="0"/>
              <w:caps w:val="0"/>
              <w:noProof/>
              <w:sz w:val="24"/>
              <w:szCs w:val="24"/>
              <w:lang w:val="en-CA" w:eastAsia="en-US"/>
            </w:rPr>
          </w:pPr>
          <w:hyperlink w:anchor="_Toc143845857" w:history="1">
            <w:r w:rsidRPr="00E0467E">
              <w:rPr>
                <w:rStyle w:val="Lienhypertexte"/>
                <w:noProof/>
              </w:rPr>
              <w:t>12.</w:t>
            </w:r>
            <w:r>
              <w:rPr>
                <w:rFonts w:asciiTheme="minorHAnsi" w:eastAsiaTheme="minorEastAsia" w:hAnsiTheme="minorHAnsi" w:cstheme="minorBidi"/>
                <w:b w:val="0"/>
                <w:bCs w:val="0"/>
                <w:caps w:val="0"/>
                <w:noProof/>
                <w:sz w:val="24"/>
                <w:szCs w:val="24"/>
                <w:lang w:val="en-CA" w:eastAsia="en-US"/>
              </w:rPr>
              <w:tab/>
            </w:r>
            <w:r w:rsidRPr="00E0467E">
              <w:rPr>
                <w:rStyle w:val="Lienhypertexte"/>
                <w:noProof/>
              </w:rPr>
              <w:t>Mise à jour</w:t>
            </w:r>
            <w:r>
              <w:rPr>
                <w:noProof/>
                <w:webHidden/>
              </w:rPr>
              <w:tab/>
            </w:r>
            <w:r>
              <w:rPr>
                <w:noProof/>
                <w:webHidden/>
              </w:rPr>
              <w:fldChar w:fldCharType="begin"/>
            </w:r>
            <w:r>
              <w:rPr>
                <w:noProof/>
                <w:webHidden/>
              </w:rPr>
              <w:instrText xml:space="preserve"> PAGEREF _Toc143845857 \h </w:instrText>
            </w:r>
            <w:r>
              <w:rPr>
                <w:noProof/>
                <w:webHidden/>
              </w:rPr>
            </w:r>
            <w:r>
              <w:rPr>
                <w:noProof/>
                <w:webHidden/>
              </w:rPr>
              <w:fldChar w:fldCharType="separate"/>
            </w:r>
            <w:r>
              <w:rPr>
                <w:noProof/>
                <w:webHidden/>
              </w:rPr>
              <w:t>21</w:t>
            </w:r>
            <w:r>
              <w:rPr>
                <w:noProof/>
                <w:webHidden/>
              </w:rPr>
              <w:fldChar w:fldCharType="end"/>
            </w:r>
          </w:hyperlink>
        </w:p>
        <w:p w14:paraId="00000043" w14:textId="437AB2A7" w:rsidR="006B1DB6" w:rsidRDefault="00844031" w:rsidP="00824DE0">
          <w:pPr>
            <w:jc w:val="both"/>
          </w:pPr>
          <w:r>
            <w:fldChar w:fldCharType="end"/>
          </w:r>
        </w:p>
      </w:sdtContent>
    </w:sdt>
    <w:p w14:paraId="00000044" w14:textId="77777777" w:rsidR="006B1DB6" w:rsidRDefault="00844031" w:rsidP="00F4051F">
      <w:pPr>
        <w:pStyle w:val="Titre1"/>
        <w:numPr>
          <w:ilvl w:val="0"/>
          <w:numId w:val="22"/>
        </w:numPr>
        <w:ind w:left="360" w:hanging="360"/>
        <w:jc w:val="both"/>
      </w:pPr>
      <w:bookmarkStart w:id="0" w:name="_Toc143845822"/>
      <w:r>
        <w:lastRenderedPageBreak/>
        <w:t>COORDINATION</w:t>
      </w:r>
      <w:bookmarkEnd w:id="0"/>
    </w:p>
    <w:p w14:paraId="00000045" w14:textId="77777777" w:rsidR="006B1DB6" w:rsidRDefault="00844031" w:rsidP="00824DE0">
      <w:pPr>
        <w:jc w:val="both"/>
      </w:pPr>
      <w:r>
        <w:t xml:space="preserve">La première étape du plan d’action est de désigner une personne responsable (la coordonnatrice ou le coordonnateur) qui aura reçu un mandat clair de la direction pour mener à bien la réalisation de celui-ci. Son rôle est de voir à son bon déroulement en coordonnant chacune des étapes avec les personnes concernées pour les établissements et infrastructures de l’organisation couverts par le plan d’action. </w:t>
      </w:r>
    </w:p>
    <w:p w14:paraId="00000046" w14:textId="77777777" w:rsidR="006B1DB6" w:rsidRDefault="00844031" w:rsidP="00824DE0">
      <w:pPr>
        <w:spacing w:before="120"/>
        <w:jc w:val="both"/>
      </w:pPr>
      <w:r>
        <w:t>La coordonnatrice ou le coordonnateur n’a pas nécessairement à avoir une grande expertise en espaces clos, mais devra posséder les qualités personnelles et professionnelles pour être un(e) agent(e) de changement, c’est-à-dire :</w:t>
      </w:r>
    </w:p>
    <w:p w14:paraId="00000047" w14:textId="77777777" w:rsidR="006B1DB6" w:rsidRPr="00E11E93" w:rsidRDefault="00844031" w:rsidP="00824DE0">
      <w:pPr>
        <w:pStyle w:val="Puceniveau1"/>
        <w:ind w:left="450"/>
      </w:pPr>
      <w:proofErr w:type="gramStart"/>
      <w:r w:rsidRPr="00E11E93">
        <w:t>bien</w:t>
      </w:r>
      <w:proofErr w:type="gramEnd"/>
      <w:r w:rsidRPr="00E11E93">
        <w:t xml:space="preserve"> connaître l’organisation;</w:t>
      </w:r>
    </w:p>
    <w:p w14:paraId="00000048" w14:textId="77777777" w:rsidR="006B1DB6" w:rsidRPr="00E11E93" w:rsidRDefault="00844031" w:rsidP="00824DE0">
      <w:pPr>
        <w:pStyle w:val="Puceniveau1"/>
        <w:ind w:left="450"/>
      </w:pPr>
      <w:proofErr w:type="gramStart"/>
      <w:r w:rsidRPr="00E11E93">
        <w:t>avoir</w:t>
      </w:r>
      <w:proofErr w:type="gramEnd"/>
      <w:r w:rsidRPr="00E11E93">
        <w:t xml:space="preserve"> de bonnes compétences en communication;</w:t>
      </w:r>
    </w:p>
    <w:p w14:paraId="00000049" w14:textId="77777777" w:rsidR="006B1DB6" w:rsidRPr="00E11E93" w:rsidRDefault="00844031" w:rsidP="00824DE0">
      <w:pPr>
        <w:pStyle w:val="Puceniveau1"/>
        <w:ind w:left="450"/>
      </w:pPr>
      <w:proofErr w:type="gramStart"/>
      <w:r w:rsidRPr="00E11E93">
        <w:t>aimer</w:t>
      </w:r>
      <w:proofErr w:type="gramEnd"/>
      <w:r w:rsidRPr="00E11E93">
        <w:t xml:space="preserve"> le travail d’équipe;</w:t>
      </w:r>
    </w:p>
    <w:p w14:paraId="0000004A" w14:textId="77777777" w:rsidR="006B1DB6" w:rsidRPr="00E11E93" w:rsidRDefault="00844031" w:rsidP="00824DE0">
      <w:pPr>
        <w:pStyle w:val="Puceniveau1"/>
        <w:ind w:left="450"/>
      </w:pPr>
      <w:proofErr w:type="gramStart"/>
      <w:r w:rsidRPr="00E11E93">
        <w:t>être</w:t>
      </w:r>
      <w:proofErr w:type="gramEnd"/>
      <w:r w:rsidRPr="00E11E93">
        <w:t xml:space="preserve"> une personne crédible et digne de confiance aux yeux de l'organisation;</w:t>
      </w:r>
    </w:p>
    <w:p w14:paraId="0000004B" w14:textId="77777777" w:rsidR="006B1DB6" w:rsidRPr="00E11E93" w:rsidRDefault="00844031" w:rsidP="00824DE0">
      <w:pPr>
        <w:pStyle w:val="Puceniveau1"/>
        <w:ind w:left="450"/>
      </w:pPr>
      <w:proofErr w:type="gramStart"/>
      <w:r w:rsidRPr="00E11E93">
        <w:t>démontrer</w:t>
      </w:r>
      <w:proofErr w:type="gramEnd"/>
      <w:r w:rsidRPr="00E11E93">
        <w:t xml:space="preserve"> une préoccupation pour la santé et la sécurité du travail (SST);</w:t>
      </w:r>
    </w:p>
    <w:p w14:paraId="0000004C" w14:textId="77777777" w:rsidR="006B1DB6" w:rsidRPr="009F2DA6" w:rsidRDefault="00844031" w:rsidP="00824DE0">
      <w:pPr>
        <w:pStyle w:val="Puceniveau1"/>
        <w:ind w:left="450"/>
      </w:pPr>
      <w:proofErr w:type="gramStart"/>
      <w:r w:rsidRPr="00E11E93">
        <w:t>être</w:t>
      </w:r>
      <w:proofErr w:type="gramEnd"/>
      <w:r w:rsidRPr="00E11E93">
        <w:t xml:space="preserve"> axé(e) sur les résultats</w:t>
      </w:r>
      <w:r w:rsidRPr="009F2DA6">
        <w:t xml:space="preserve"> en SST.</w:t>
      </w:r>
    </w:p>
    <w:p w14:paraId="0000004D" w14:textId="77777777" w:rsidR="006B1DB6" w:rsidRDefault="00844031" w:rsidP="00824DE0">
      <w:pPr>
        <w:spacing w:before="120" w:after="120"/>
        <w:jc w:val="both"/>
      </w:pPr>
      <w:r w:rsidRPr="009F2DA6">
        <w:t>Cette personne, en collaboration avec les gestionnaires, doit identifier les établissements et infrastructures où il est possible de retrouver des espaces clos.</w:t>
      </w:r>
    </w:p>
    <w:p w14:paraId="0000004E" w14:textId="77777777" w:rsidR="006B1DB6" w:rsidRDefault="006B1DB6" w:rsidP="00824DE0">
      <w:pPr>
        <w:jc w:val="both"/>
      </w:pPr>
    </w:p>
    <w:p w14:paraId="0000004F" w14:textId="75835E3B" w:rsidR="006B1DB6" w:rsidRDefault="0010365E" w:rsidP="00F4051F">
      <w:pPr>
        <w:pStyle w:val="Titre1"/>
        <w:numPr>
          <w:ilvl w:val="0"/>
          <w:numId w:val="22"/>
        </w:numPr>
        <w:ind w:left="360" w:hanging="360"/>
        <w:jc w:val="both"/>
      </w:pPr>
      <w:bookmarkStart w:id="1" w:name="_Toc143845823"/>
      <w:r>
        <w:rPr>
          <w:caps w:val="0"/>
        </w:rPr>
        <w:t>AUTOÉV</w:t>
      </w:r>
      <w:r w:rsidRPr="00F4051F">
        <w:rPr>
          <w:caps w:val="0"/>
        </w:rPr>
        <w:t>AL</w:t>
      </w:r>
      <w:r>
        <w:rPr>
          <w:caps w:val="0"/>
        </w:rPr>
        <w:t>UATION</w:t>
      </w:r>
      <w:bookmarkEnd w:id="1"/>
      <w:r>
        <w:rPr>
          <w:caps w:val="0"/>
        </w:rPr>
        <w:t xml:space="preserve"> </w:t>
      </w:r>
    </w:p>
    <w:p w14:paraId="00000050" w14:textId="77777777" w:rsidR="006B1DB6" w:rsidRDefault="00844031" w:rsidP="00824DE0">
      <w:pPr>
        <w:jc w:val="both"/>
      </w:pPr>
      <w:r>
        <w:t>La deuxième étape consiste à effectuer un exercice d’</w:t>
      </w:r>
      <w:r>
        <w:rPr>
          <w:color w:val="000000"/>
        </w:rPr>
        <w:t>autoévaluation avec les gestionnaires de tous les établissements/infrastructures ou services concernés</w:t>
      </w:r>
      <w:r>
        <w:t xml:space="preserve">. Cet exercice permet de brosser un portrait de l’état actuel de la prise en charge de la SST des espaces clos et de déterminer quelles activités devraient être réalisées et priorisées afin de se conformer à la législation et d’apporter les améliorations requises. </w:t>
      </w:r>
    </w:p>
    <w:p w14:paraId="00000051" w14:textId="77777777" w:rsidR="006B1DB6" w:rsidRDefault="00844031" w:rsidP="00824DE0">
      <w:pPr>
        <w:spacing w:before="120"/>
        <w:jc w:val="both"/>
      </w:pPr>
      <w:r>
        <w:t xml:space="preserve">L’autoévaluation est présentée sous la forme d’un questionnaire où chacune des questions correspond à chacune des étapes du plan d’action et du « Document de support au plan d’action </w:t>
      </w:r>
      <w:r>
        <w:rPr>
          <w:highlight w:val="white"/>
        </w:rPr>
        <w:t>–</w:t>
      </w:r>
      <w:r>
        <w:t xml:space="preserve"> espaces clos ». Dans ce dernier, ont été ajoutées des références, remarques et recommandations afin de vous aider. </w:t>
      </w:r>
    </w:p>
    <w:p w14:paraId="00000052" w14:textId="77777777" w:rsidR="006B1DB6" w:rsidRDefault="00844031" w:rsidP="00824DE0">
      <w:pPr>
        <w:spacing w:before="120"/>
        <w:jc w:val="both"/>
      </w:pPr>
      <w:r>
        <w:t xml:space="preserve">D’autre part, chacune des activités décrites au « </w:t>
      </w:r>
      <w:r>
        <w:rPr>
          <w:color w:val="000000"/>
        </w:rPr>
        <w:t>Plan d’action</w:t>
      </w:r>
      <w:r>
        <w:t xml:space="preserve"> </w:t>
      </w:r>
      <w:r>
        <w:rPr>
          <w:highlight w:val="white"/>
        </w:rPr>
        <w:t>–</w:t>
      </w:r>
      <w:r>
        <w:rPr>
          <w:color w:val="000000"/>
          <w:highlight w:val="white"/>
        </w:rPr>
        <w:t xml:space="preserve"> </w:t>
      </w:r>
      <w:r>
        <w:rPr>
          <w:color w:val="000000"/>
        </w:rPr>
        <w:t xml:space="preserve">espaces clos </w:t>
      </w:r>
      <w:r>
        <w:t>», qu’elle soit déjà réalisée ou qu’elle soit à réaliser, permet d’atteindre cet objectif de la prise en charge intégrée de la SST pour les interventions en espace clos.</w:t>
      </w:r>
    </w:p>
    <w:p w14:paraId="00000053" w14:textId="77777777" w:rsidR="006B1DB6" w:rsidRDefault="006B1DB6" w:rsidP="00824DE0">
      <w:pPr>
        <w:jc w:val="both"/>
      </w:pPr>
    </w:p>
    <w:p w14:paraId="00000054" w14:textId="77777777" w:rsidR="006B1DB6" w:rsidRDefault="00844031" w:rsidP="00F4051F">
      <w:pPr>
        <w:pStyle w:val="Titre1"/>
        <w:numPr>
          <w:ilvl w:val="0"/>
          <w:numId w:val="22"/>
        </w:numPr>
        <w:ind w:left="360" w:hanging="360"/>
        <w:jc w:val="both"/>
      </w:pPr>
      <w:bookmarkStart w:id="2" w:name="_Toc143845824"/>
      <w:r>
        <w:t>COMITÉ DE TRAVAIL PARITAIRE</w:t>
      </w:r>
      <w:bookmarkEnd w:id="2"/>
      <w:r>
        <w:t xml:space="preserve"> </w:t>
      </w:r>
    </w:p>
    <w:p w14:paraId="00000055" w14:textId="77777777" w:rsidR="006B1DB6" w:rsidRDefault="00844031" w:rsidP="00824DE0">
      <w:pPr>
        <w:spacing w:before="120"/>
        <w:jc w:val="both"/>
      </w:pPr>
      <w:r>
        <w:t xml:space="preserve">En raison de la complexité des travaux en espaces clos et des nombreux risques qu’il faut identifier, corriger et contrôler, il est recommandé de créer un comité de travail paritaire. </w:t>
      </w:r>
    </w:p>
    <w:p w14:paraId="00000056" w14:textId="77777777" w:rsidR="006B1DB6" w:rsidRDefault="006B1DB6" w:rsidP="00824DE0">
      <w:pPr>
        <w:spacing w:before="120"/>
        <w:jc w:val="both"/>
      </w:pPr>
    </w:p>
    <w:p w14:paraId="00000057" w14:textId="77777777" w:rsidR="006B1DB6" w:rsidRDefault="00844031" w:rsidP="00824DE0">
      <w:pPr>
        <w:pStyle w:val="Titre2"/>
        <w:jc w:val="both"/>
      </w:pPr>
      <w:bookmarkStart w:id="3" w:name="_Toc143845825"/>
      <w:r>
        <w:t>3.1</w:t>
      </w:r>
      <w:r>
        <w:tab/>
        <w:t>Créer un comité de travail paritaire</w:t>
      </w:r>
      <w:bookmarkEnd w:id="3"/>
      <w:r>
        <w:t xml:space="preserve"> </w:t>
      </w:r>
    </w:p>
    <w:p w14:paraId="00000058" w14:textId="0FD546B5" w:rsidR="006B1DB6" w:rsidRDefault="00844031" w:rsidP="00824DE0">
      <w:pPr>
        <w:spacing w:before="120"/>
        <w:jc w:val="both"/>
      </w:pPr>
      <w:r>
        <w:t xml:space="preserve">Les membres du comité de travail paritaire doivent être représentatifs des besoins de l’organisation. Ils peuvent décider de créer un plan d’action par établissement/infrastructure ou service </w:t>
      </w:r>
      <w:sdt>
        <w:sdtPr>
          <w:tag w:val="goog_rdk_4"/>
          <w:id w:val="-1325359406"/>
        </w:sdtPr>
        <w:sdtContent/>
      </w:sdt>
      <w:r>
        <w:t xml:space="preserve">ou </w:t>
      </w:r>
      <w:r w:rsidR="00ED4087">
        <w:t xml:space="preserve">un seul </w:t>
      </w:r>
      <w:r>
        <w:t>pour tous les espaces clos de l’organisation.</w:t>
      </w:r>
    </w:p>
    <w:p w14:paraId="00000059" w14:textId="77777777" w:rsidR="006B1DB6" w:rsidRDefault="00844031" w:rsidP="00824DE0">
      <w:pPr>
        <w:spacing w:before="120"/>
        <w:jc w:val="both"/>
      </w:pPr>
      <w:r>
        <w:t>En plus de la coordonnatrice ou du coordonnateur, ce comité doit être composé minimalement d’un contremaître/gestionnaire de premier niveau et d’un(e) ou deux travailleuses et/ou travailleurs ayant une bonne expérience concernant les travaux qui sont généralement effectués dans les espaces clos de l’organisation.</w:t>
      </w:r>
    </w:p>
    <w:p w14:paraId="0000005A" w14:textId="77777777" w:rsidR="006B1DB6" w:rsidRDefault="006B1DB6" w:rsidP="00824DE0">
      <w:pPr>
        <w:jc w:val="both"/>
      </w:pPr>
    </w:p>
    <w:p w14:paraId="0000005B" w14:textId="77777777" w:rsidR="006B1DB6" w:rsidRDefault="00844031" w:rsidP="00824DE0">
      <w:pPr>
        <w:pStyle w:val="Titre2"/>
        <w:jc w:val="both"/>
      </w:pPr>
      <w:bookmarkStart w:id="4" w:name="_Toc143845826"/>
      <w:r>
        <w:t>3.2</w:t>
      </w:r>
      <w:r>
        <w:tab/>
        <w:t>Préciser les rôles et responsabilités des différent(e)s intervenant(e)s</w:t>
      </w:r>
      <w:bookmarkEnd w:id="4"/>
    </w:p>
    <w:p w14:paraId="0000005C" w14:textId="77777777" w:rsidR="006B1DB6" w:rsidRDefault="00844031" w:rsidP="00824DE0">
      <w:pPr>
        <w:jc w:val="both"/>
      </w:pPr>
      <w:r>
        <w:t xml:space="preserve">Les rôles et responsabilités des différent(e)s intervenant(e)s en espace clos sont précisés par les membres du comité et confirmés par l’employeur. Ainsi, ces intervenant(e)s pourront contribuer efficacement à la prise en charge de la SST en lien avec le travail en espace clos. </w:t>
      </w:r>
    </w:p>
    <w:p w14:paraId="0000005D" w14:textId="77777777" w:rsidR="006B1DB6" w:rsidRDefault="00844031" w:rsidP="00824DE0">
      <w:pPr>
        <w:spacing w:before="120"/>
        <w:jc w:val="both"/>
      </w:pPr>
      <w:r>
        <w:t>Pour ce faire, nous vous suggérons de consulter la fiche « Rôles et responsabilités – espaces clos ».</w:t>
      </w:r>
    </w:p>
    <w:p w14:paraId="0000005E" w14:textId="77777777" w:rsidR="006B1DB6" w:rsidRDefault="006B1DB6" w:rsidP="00824DE0">
      <w:pPr>
        <w:jc w:val="both"/>
      </w:pPr>
    </w:p>
    <w:p w14:paraId="0000005F" w14:textId="77777777" w:rsidR="006B1DB6" w:rsidRDefault="00844031" w:rsidP="00824DE0">
      <w:pPr>
        <w:pStyle w:val="Titre2"/>
        <w:jc w:val="both"/>
      </w:pPr>
      <w:bookmarkStart w:id="5" w:name="_Toc143845827"/>
      <w:r>
        <w:t>3.3</w:t>
      </w:r>
      <w:r>
        <w:tab/>
        <w:t>Désigner une ou des personnes qualifiées</w:t>
      </w:r>
      <w:bookmarkEnd w:id="5"/>
    </w:p>
    <w:p w14:paraId="00000060" w14:textId="70880E47" w:rsidR="006B1DB6" w:rsidRDefault="00844031" w:rsidP="00824DE0">
      <w:pPr>
        <w:spacing w:before="120" w:after="120"/>
        <w:jc w:val="both"/>
      </w:pPr>
      <w:r>
        <w:t xml:space="preserve">Plusieurs dispositions prévues à la « Section XXVI du RSST – Travail en espace clos » du RSST nécessitent l’intervention d’une </w:t>
      </w:r>
      <w:sdt>
        <w:sdtPr>
          <w:tag w:val="goog_rdk_5"/>
          <w:id w:val="424997386"/>
        </w:sdtPr>
        <w:sdtContent/>
      </w:sdt>
      <w:r>
        <w:t xml:space="preserve">personne qualifiée. </w:t>
      </w:r>
      <w:r w:rsidR="005E60F2">
        <w:t>Celle-ci est définie ainsi :</w:t>
      </w:r>
    </w:p>
    <w:p w14:paraId="00000061" w14:textId="77777777" w:rsidR="006B1DB6" w:rsidRDefault="00844031" w:rsidP="00824DE0">
      <w:pPr>
        <w:spacing w:before="120" w:after="120"/>
        <w:jc w:val="both"/>
      </w:pPr>
      <w:r>
        <w:rPr>
          <w:i/>
        </w:rPr>
        <w:t>«</w:t>
      </w:r>
      <w:r>
        <w:rPr>
          <w:b/>
          <w:i/>
        </w:rPr>
        <w:t> 297.</w:t>
      </w:r>
      <w:r>
        <w:rPr>
          <w:i/>
        </w:rPr>
        <w:t xml:space="preserve"> </w:t>
      </w:r>
      <w:r>
        <w:rPr>
          <w:b/>
          <w:i/>
        </w:rPr>
        <w:t>Personne qualifiée</w:t>
      </w:r>
      <w:r>
        <w:rPr>
          <w:i/>
        </w:rPr>
        <w:t xml:space="preserve"> : une personne qui, en raison de ses connaissances, de sa formation ou de son expérience, est en mesure d’identifier, d’évaluer et de contrôler les dangers relatifs à un espace clos. »</w:t>
      </w:r>
    </w:p>
    <w:p w14:paraId="00000062" w14:textId="77777777" w:rsidR="006B1DB6" w:rsidRDefault="00844031" w:rsidP="00824DE0">
      <w:pPr>
        <w:spacing w:before="120"/>
        <w:jc w:val="both"/>
      </w:pPr>
      <w:r>
        <w:t xml:space="preserve">En plus d’avoir une bonne connaissance des notions de santé et sécurité associées au travail en espaces clos, les personnes qualifiées doivent également avoir de l’expérience leur permettant de bien connaître les installations, les équipements et les </w:t>
      </w:r>
      <w:r>
        <w:rPr>
          <w:u w:val="single"/>
        </w:rPr>
        <w:t>tâches qui y sont exécutées</w:t>
      </w:r>
      <w:r>
        <w:t xml:space="preserve">.  </w:t>
      </w:r>
    </w:p>
    <w:p w14:paraId="00000063" w14:textId="77777777" w:rsidR="006B1DB6" w:rsidRDefault="00844031" w:rsidP="00824DE0">
      <w:pPr>
        <w:spacing w:before="120" w:after="120"/>
        <w:jc w:val="both"/>
        <w:rPr>
          <w:b/>
        </w:rPr>
      </w:pPr>
      <w:r>
        <w:rPr>
          <w:b/>
        </w:rPr>
        <w:t>Plusieurs articles sur l’identification des risques et des moyens de prévention concernent la personne qualifiée :</w:t>
      </w:r>
    </w:p>
    <w:p w14:paraId="00000064" w14:textId="77777777" w:rsidR="006B1DB6" w:rsidRDefault="00844031" w:rsidP="00824DE0">
      <w:pPr>
        <w:numPr>
          <w:ilvl w:val="0"/>
          <w:numId w:val="20"/>
        </w:numPr>
        <w:pBdr>
          <w:top w:val="nil"/>
          <w:left w:val="nil"/>
          <w:bottom w:val="nil"/>
          <w:right w:val="nil"/>
          <w:between w:val="nil"/>
        </w:pBdr>
        <w:spacing w:before="120" w:after="120"/>
        <w:jc w:val="both"/>
        <w:rPr>
          <w:i/>
          <w:color w:val="000000"/>
        </w:rPr>
      </w:pPr>
      <w:r>
        <w:rPr>
          <w:i/>
          <w:color w:val="000000"/>
        </w:rPr>
        <w:t>«</w:t>
      </w:r>
      <w:r>
        <w:rPr>
          <w:b/>
          <w:i/>
          <w:color w:val="000000"/>
        </w:rPr>
        <w:t> 300. Cueillette de renseignements et moyens de prévention préalables à l’exécution d’un travail :</w:t>
      </w:r>
      <w:r>
        <w:rPr>
          <w:i/>
          <w:color w:val="000000"/>
        </w:rPr>
        <w:t xml:space="preserve"> Avant que ne soit entrepris un travail dans un espace clos, les renseignements et les moyens de prévention suivants doivent être disponibles, par écrit, sur les lieux mêmes du travail :</w:t>
      </w:r>
    </w:p>
    <w:p w14:paraId="00000065" w14:textId="77777777" w:rsidR="006B1DB6" w:rsidRDefault="00844031" w:rsidP="00824DE0">
      <w:pPr>
        <w:spacing w:before="120"/>
        <w:ind w:left="630" w:hanging="270"/>
        <w:jc w:val="both"/>
        <w:rPr>
          <w:i/>
        </w:rPr>
      </w:pPr>
      <w:r>
        <w:rPr>
          <w:i/>
        </w:rPr>
        <w:t>1° ceux concernant les risques associés à l’atmosphère, y compris ceux pouvant être introduits lors des travaux et qui sont relatifs :</w:t>
      </w:r>
    </w:p>
    <w:p w14:paraId="00000066" w14:textId="77777777" w:rsidR="006B1DB6" w:rsidRDefault="00844031" w:rsidP="00824DE0">
      <w:pPr>
        <w:numPr>
          <w:ilvl w:val="0"/>
          <w:numId w:val="6"/>
        </w:numPr>
        <w:ind w:left="1080" w:hanging="446"/>
        <w:jc w:val="both"/>
        <w:rPr>
          <w:i/>
        </w:rPr>
      </w:pPr>
      <w:proofErr w:type="gramStart"/>
      <w:r>
        <w:rPr>
          <w:i/>
        </w:rPr>
        <w:t>à</w:t>
      </w:r>
      <w:proofErr w:type="gramEnd"/>
      <w:r>
        <w:rPr>
          <w:i/>
        </w:rPr>
        <w:t xml:space="preserve"> une déficience ou à un excès d’oxygène;</w:t>
      </w:r>
    </w:p>
    <w:p w14:paraId="00000067" w14:textId="77777777" w:rsidR="006B1DB6" w:rsidRDefault="00844031" w:rsidP="00824DE0">
      <w:pPr>
        <w:numPr>
          <w:ilvl w:val="0"/>
          <w:numId w:val="6"/>
        </w:numPr>
        <w:ind w:left="1080" w:hanging="446"/>
        <w:jc w:val="both"/>
        <w:rPr>
          <w:i/>
        </w:rPr>
      </w:pPr>
      <w:proofErr w:type="gramStart"/>
      <w:r>
        <w:rPr>
          <w:i/>
        </w:rPr>
        <w:t>à</w:t>
      </w:r>
      <w:proofErr w:type="gramEnd"/>
      <w:r>
        <w:rPr>
          <w:i/>
        </w:rPr>
        <w:t xml:space="preserve"> des contaminants, des gaz ou des vapeurs inflammables ou toxiques, ou des poussières combustibles;</w:t>
      </w:r>
    </w:p>
    <w:p w14:paraId="00000068" w14:textId="77777777" w:rsidR="006B1DB6" w:rsidRDefault="00844031" w:rsidP="00824DE0">
      <w:pPr>
        <w:numPr>
          <w:ilvl w:val="0"/>
          <w:numId w:val="6"/>
        </w:numPr>
        <w:ind w:left="1080" w:hanging="446"/>
        <w:jc w:val="both"/>
        <w:rPr>
          <w:i/>
        </w:rPr>
      </w:pPr>
      <w:proofErr w:type="gramStart"/>
      <w:r>
        <w:rPr>
          <w:i/>
        </w:rPr>
        <w:t>aux</w:t>
      </w:r>
      <w:proofErr w:type="gramEnd"/>
      <w:r>
        <w:rPr>
          <w:i/>
        </w:rPr>
        <w:t xml:space="preserve"> matières présentes pouvant émettre des gaz ou des vapeurs, ou consommer l’oxygène;</w:t>
      </w:r>
    </w:p>
    <w:p w14:paraId="00000069" w14:textId="77777777" w:rsidR="006B1DB6" w:rsidRDefault="00844031" w:rsidP="00824DE0">
      <w:pPr>
        <w:numPr>
          <w:ilvl w:val="0"/>
          <w:numId w:val="6"/>
        </w:numPr>
        <w:ind w:left="1080" w:hanging="446"/>
        <w:jc w:val="both"/>
        <w:rPr>
          <w:i/>
        </w:rPr>
      </w:pPr>
      <w:proofErr w:type="gramStart"/>
      <w:r>
        <w:rPr>
          <w:i/>
        </w:rPr>
        <w:t>aux</w:t>
      </w:r>
      <w:proofErr w:type="gramEnd"/>
      <w:r>
        <w:rPr>
          <w:i/>
        </w:rPr>
        <w:t xml:space="preserve"> contraintes thermiques;</w:t>
      </w:r>
    </w:p>
    <w:p w14:paraId="0000006A" w14:textId="77777777" w:rsidR="006B1DB6" w:rsidRDefault="00844031" w:rsidP="00824DE0">
      <w:pPr>
        <w:numPr>
          <w:ilvl w:val="0"/>
          <w:numId w:val="6"/>
        </w:numPr>
        <w:ind w:left="1080" w:hanging="446"/>
        <w:jc w:val="both"/>
        <w:rPr>
          <w:i/>
        </w:rPr>
      </w:pPr>
      <w:proofErr w:type="gramStart"/>
      <w:r>
        <w:rPr>
          <w:i/>
        </w:rPr>
        <w:t>à</w:t>
      </w:r>
      <w:proofErr w:type="gramEnd"/>
      <w:r>
        <w:rPr>
          <w:i/>
        </w:rPr>
        <w:t xml:space="preserve"> l’insuffisance de ventilation naturelle ou mécanique;</w:t>
      </w:r>
    </w:p>
    <w:p w14:paraId="0000006B" w14:textId="77777777" w:rsidR="006B1DB6" w:rsidRDefault="00844031" w:rsidP="00824DE0">
      <w:pPr>
        <w:spacing w:before="120" w:after="120"/>
        <w:ind w:left="630" w:hanging="270"/>
        <w:jc w:val="both"/>
        <w:rPr>
          <w:i/>
        </w:rPr>
      </w:pPr>
      <w:r>
        <w:rPr>
          <w:i/>
        </w:rPr>
        <w:t>2° ceux concernant les risques associés aux matières à écoulement libre qui y sont présentes et qui peuvent causer l’ensevelissement ou la noyade du travailleur, comme du sable, du grain ou un liquide;</w:t>
      </w:r>
    </w:p>
    <w:p w14:paraId="0000006C" w14:textId="77777777" w:rsidR="006B1DB6" w:rsidRDefault="00844031" w:rsidP="00824DE0">
      <w:pPr>
        <w:spacing w:before="120"/>
        <w:ind w:left="634" w:hanging="274"/>
        <w:jc w:val="both"/>
        <w:rPr>
          <w:i/>
        </w:rPr>
      </w:pPr>
      <w:r>
        <w:rPr>
          <w:i/>
        </w:rPr>
        <w:t>3° ceux concernant les autres risques pouvant compromettre la sécurité ou l’évacuation d’un travailleur et qui sont relatifs :</w:t>
      </w:r>
    </w:p>
    <w:p w14:paraId="0000006D" w14:textId="77777777" w:rsidR="006B1DB6" w:rsidRDefault="00844031" w:rsidP="00824DE0">
      <w:pPr>
        <w:numPr>
          <w:ilvl w:val="0"/>
          <w:numId w:val="7"/>
        </w:numPr>
        <w:ind w:left="1080" w:hanging="360"/>
        <w:jc w:val="both"/>
        <w:rPr>
          <w:i/>
        </w:rPr>
      </w:pPr>
      <w:proofErr w:type="gramStart"/>
      <w:r>
        <w:rPr>
          <w:i/>
        </w:rPr>
        <w:t>aux</w:t>
      </w:r>
      <w:proofErr w:type="gramEnd"/>
      <w:r>
        <w:rPr>
          <w:i/>
        </w:rPr>
        <w:t xml:space="preserve"> moyens d’entrée ou de sortie, à la configuration intérieure, aux conditions d’éclairage et aux communications;</w:t>
      </w:r>
    </w:p>
    <w:p w14:paraId="0000006E" w14:textId="77777777" w:rsidR="006B1DB6" w:rsidRDefault="00844031" w:rsidP="00824DE0">
      <w:pPr>
        <w:numPr>
          <w:ilvl w:val="0"/>
          <w:numId w:val="7"/>
        </w:numPr>
        <w:ind w:left="1080" w:hanging="360"/>
        <w:jc w:val="both"/>
        <w:rPr>
          <w:i/>
        </w:rPr>
      </w:pPr>
      <w:proofErr w:type="gramStart"/>
      <w:r>
        <w:rPr>
          <w:i/>
        </w:rPr>
        <w:t>aux</w:t>
      </w:r>
      <w:proofErr w:type="gramEnd"/>
      <w:r>
        <w:rPr>
          <w:i/>
        </w:rPr>
        <w:t xml:space="preserve"> énergies, comme l’électricité, les pièces mécaniques en mouvement, le bruit et l’énergie hydraulique;</w:t>
      </w:r>
    </w:p>
    <w:p w14:paraId="0000006F" w14:textId="77777777" w:rsidR="006B1DB6" w:rsidRDefault="00844031" w:rsidP="00824DE0">
      <w:pPr>
        <w:numPr>
          <w:ilvl w:val="0"/>
          <w:numId w:val="7"/>
        </w:numPr>
        <w:ind w:left="1080" w:hanging="360"/>
        <w:jc w:val="both"/>
        <w:rPr>
          <w:i/>
        </w:rPr>
      </w:pPr>
      <w:proofErr w:type="gramStart"/>
      <w:r>
        <w:rPr>
          <w:i/>
        </w:rPr>
        <w:t>aux</w:t>
      </w:r>
      <w:proofErr w:type="gramEnd"/>
      <w:r>
        <w:rPr>
          <w:i/>
        </w:rPr>
        <w:t xml:space="preserve"> sources d’inflammation telles que les flammes nues, l’éclairage, le soudage et le coupage, le meulage, l’électricité statique ou les étincelles;</w:t>
      </w:r>
    </w:p>
    <w:p w14:paraId="00000070" w14:textId="77777777" w:rsidR="006B1DB6" w:rsidRDefault="00844031" w:rsidP="00824DE0">
      <w:pPr>
        <w:numPr>
          <w:ilvl w:val="0"/>
          <w:numId w:val="7"/>
        </w:numPr>
        <w:ind w:left="1080" w:hanging="360"/>
        <w:jc w:val="both"/>
        <w:rPr>
          <w:i/>
        </w:rPr>
      </w:pPr>
      <w:proofErr w:type="gramStart"/>
      <w:r>
        <w:rPr>
          <w:i/>
        </w:rPr>
        <w:t>aux</w:t>
      </w:r>
      <w:proofErr w:type="gramEnd"/>
      <w:r>
        <w:rPr>
          <w:i/>
        </w:rPr>
        <w:t xml:space="preserve"> autres catégories de contaminants généralement susceptibles d’être présents dans cet espace clos ou aux environs de celui-ci;</w:t>
      </w:r>
    </w:p>
    <w:p w14:paraId="00000071" w14:textId="77777777" w:rsidR="006B1DB6" w:rsidRDefault="00844031" w:rsidP="00824DE0">
      <w:pPr>
        <w:numPr>
          <w:ilvl w:val="0"/>
          <w:numId w:val="7"/>
        </w:numPr>
        <w:ind w:left="1080" w:hanging="360"/>
        <w:jc w:val="both"/>
        <w:rPr>
          <w:i/>
        </w:rPr>
      </w:pPr>
      <w:proofErr w:type="gramStart"/>
      <w:r>
        <w:rPr>
          <w:i/>
        </w:rPr>
        <w:t>à</w:t>
      </w:r>
      <w:proofErr w:type="gramEnd"/>
      <w:r>
        <w:rPr>
          <w:i/>
        </w:rPr>
        <w:t xml:space="preserve"> toute autre circonstance particulière, telle que la présence de véhicules, d’animaux ou d’insectes;</w:t>
      </w:r>
    </w:p>
    <w:p w14:paraId="00000072" w14:textId="77777777" w:rsidR="006B1DB6" w:rsidRDefault="00844031" w:rsidP="00824DE0">
      <w:pPr>
        <w:spacing w:before="120"/>
        <w:ind w:left="630" w:hanging="270"/>
        <w:jc w:val="both"/>
        <w:rPr>
          <w:i/>
        </w:rPr>
      </w:pPr>
      <w:r>
        <w:rPr>
          <w:i/>
        </w:rPr>
        <w:lastRenderedPageBreak/>
        <w:t xml:space="preserve">4° les moyens de prévention à prendre pour protéger la santé et assurer la sécurité et l’intégrité physique des travailleurs et plus particulièrement celles concernant : </w:t>
      </w:r>
    </w:p>
    <w:p w14:paraId="00000073" w14:textId="77777777" w:rsidR="006B1DB6" w:rsidRDefault="00844031" w:rsidP="00824DE0">
      <w:pPr>
        <w:numPr>
          <w:ilvl w:val="0"/>
          <w:numId w:val="12"/>
        </w:numPr>
        <w:ind w:left="1080"/>
        <w:jc w:val="both"/>
        <w:rPr>
          <w:i/>
        </w:rPr>
      </w:pPr>
      <w:proofErr w:type="gramStart"/>
      <w:r>
        <w:rPr>
          <w:i/>
        </w:rPr>
        <w:t>les</w:t>
      </w:r>
      <w:proofErr w:type="gramEnd"/>
      <w:r>
        <w:rPr>
          <w:i/>
        </w:rPr>
        <w:t xml:space="preserve"> méthodes et les techniques sécuritaires pour accomplir le travail;</w:t>
      </w:r>
    </w:p>
    <w:p w14:paraId="00000074" w14:textId="77777777" w:rsidR="006B1DB6" w:rsidRDefault="00844031" w:rsidP="00824DE0">
      <w:pPr>
        <w:numPr>
          <w:ilvl w:val="0"/>
          <w:numId w:val="12"/>
        </w:numPr>
        <w:ind w:left="1080"/>
        <w:jc w:val="both"/>
        <w:rPr>
          <w:i/>
        </w:rPr>
      </w:pPr>
      <w:proofErr w:type="gramStart"/>
      <w:r>
        <w:rPr>
          <w:i/>
        </w:rPr>
        <w:t>l’équipement</w:t>
      </w:r>
      <w:proofErr w:type="gramEnd"/>
      <w:r>
        <w:rPr>
          <w:i/>
        </w:rPr>
        <w:t xml:space="preserve"> de travail approprié et nécessaire pour accomplir le travail; </w:t>
      </w:r>
    </w:p>
    <w:p w14:paraId="00000075" w14:textId="77777777" w:rsidR="006B1DB6" w:rsidRDefault="00844031" w:rsidP="00824DE0">
      <w:pPr>
        <w:numPr>
          <w:ilvl w:val="0"/>
          <w:numId w:val="12"/>
        </w:numPr>
        <w:ind w:left="1080"/>
        <w:jc w:val="both"/>
        <w:rPr>
          <w:i/>
        </w:rPr>
      </w:pPr>
      <w:proofErr w:type="gramStart"/>
      <w:r>
        <w:rPr>
          <w:i/>
        </w:rPr>
        <w:t>les</w:t>
      </w:r>
      <w:proofErr w:type="gramEnd"/>
      <w:r>
        <w:rPr>
          <w:i/>
        </w:rPr>
        <w:t xml:space="preserve"> moyens et les équipements de protection individuels ou collectifs que doit utiliser le travailleur à l’occasion de son travail;</w:t>
      </w:r>
    </w:p>
    <w:p w14:paraId="00000076" w14:textId="77777777" w:rsidR="006B1DB6" w:rsidRDefault="00844031" w:rsidP="00824DE0">
      <w:pPr>
        <w:numPr>
          <w:ilvl w:val="0"/>
          <w:numId w:val="12"/>
        </w:numPr>
        <w:ind w:left="1080"/>
        <w:jc w:val="both"/>
        <w:rPr>
          <w:i/>
        </w:rPr>
      </w:pPr>
      <w:proofErr w:type="gramStart"/>
      <w:r>
        <w:rPr>
          <w:i/>
        </w:rPr>
        <w:t>les</w:t>
      </w:r>
      <w:proofErr w:type="gramEnd"/>
      <w:r>
        <w:rPr>
          <w:i/>
        </w:rPr>
        <w:t xml:space="preserve"> moyens de sauvetage dans le plan de sauvetage prévu à l’article 309.</w:t>
      </w:r>
    </w:p>
    <w:p w14:paraId="00000077" w14:textId="68579067" w:rsidR="006B1DB6" w:rsidRDefault="00844031" w:rsidP="00824DE0">
      <w:pPr>
        <w:spacing w:before="120" w:after="120"/>
        <w:ind w:left="720"/>
        <w:jc w:val="both"/>
        <w:rPr>
          <w:i/>
        </w:rPr>
      </w:pPr>
      <w:r>
        <w:rPr>
          <w:i/>
        </w:rPr>
        <w:t>Les renseignements visés aux paragraphes 1</w:t>
      </w:r>
      <w:r>
        <w:rPr>
          <w:i/>
          <w:vertAlign w:val="superscript"/>
        </w:rPr>
        <w:t>o</w:t>
      </w:r>
      <w:r>
        <w:rPr>
          <w:i/>
        </w:rPr>
        <w:t>, 2</w:t>
      </w:r>
      <w:r w:rsidR="00B71608">
        <w:rPr>
          <w:i/>
          <w:vertAlign w:val="superscript"/>
        </w:rPr>
        <w:t>o</w:t>
      </w:r>
      <w:r w:rsidR="00B71608">
        <w:rPr>
          <w:i/>
        </w:rPr>
        <w:t xml:space="preserve"> et</w:t>
      </w:r>
      <w:r>
        <w:rPr>
          <w:i/>
        </w:rPr>
        <w:t xml:space="preserve"> 3</w:t>
      </w:r>
      <w:r>
        <w:rPr>
          <w:i/>
          <w:vertAlign w:val="superscript"/>
        </w:rPr>
        <w:t>o</w:t>
      </w:r>
      <w:r>
        <w:rPr>
          <w:i/>
        </w:rPr>
        <w:t xml:space="preserve"> du premier alinéa doivent être recueillis par une personne qualifiée. </w:t>
      </w:r>
    </w:p>
    <w:p w14:paraId="00000078" w14:textId="77777777" w:rsidR="006B1DB6" w:rsidRDefault="00844031" w:rsidP="00824DE0">
      <w:pPr>
        <w:spacing w:before="120"/>
        <w:ind w:left="720"/>
        <w:jc w:val="both"/>
        <w:rPr>
          <w:i/>
        </w:rPr>
      </w:pPr>
      <w:r>
        <w:rPr>
          <w:i/>
        </w:rPr>
        <w:t>Les moyens de prévention visés au paragraphe 4° du premier alinéa doivent être établis par une personne qualifiée</w:t>
      </w:r>
      <w:r>
        <w:rPr>
          <w:b/>
          <w:i/>
        </w:rPr>
        <w:t xml:space="preserve"> </w:t>
      </w:r>
      <w:r>
        <w:rPr>
          <w:i/>
        </w:rPr>
        <w:t>et mis en application. »</w:t>
      </w:r>
    </w:p>
    <w:p w14:paraId="00000079" w14:textId="77777777" w:rsidR="006B1DB6" w:rsidRDefault="006B1DB6" w:rsidP="00824DE0">
      <w:pPr>
        <w:ind w:left="360"/>
        <w:jc w:val="both"/>
      </w:pPr>
    </w:p>
    <w:p w14:paraId="0000007A" w14:textId="77777777" w:rsidR="006B1DB6" w:rsidRDefault="00844031" w:rsidP="00824DE0">
      <w:pPr>
        <w:numPr>
          <w:ilvl w:val="0"/>
          <w:numId w:val="20"/>
        </w:numPr>
        <w:pBdr>
          <w:top w:val="nil"/>
          <w:left w:val="nil"/>
          <w:bottom w:val="nil"/>
          <w:right w:val="nil"/>
          <w:between w:val="nil"/>
        </w:pBdr>
        <w:spacing w:after="120"/>
        <w:jc w:val="both"/>
        <w:rPr>
          <w:i/>
          <w:color w:val="000000"/>
        </w:rPr>
      </w:pPr>
      <w:r>
        <w:rPr>
          <w:i/>
          <w:color w:val="000000"/>
        </w:rPr>
        <w:t>« </w:t>
      </w:r>
      <w:r>
        <w:rPr>
          <w:b/>
          <w:i/>
          <w:color w:val="000000"/>
        </w:rPr>
        <w:t>302.</w:t>
      </w:r>
      <w:r>
        <w:rPr>
          <w:i/>
          <w:color w:val="000000"/>
        </w:rPr>
        <w:t xml:space="preserve"> </w:t>
      </w:r>
      <w:r>
        <w:rPr>
          <w:b/>
          <w:i/>
          <w:color w:val="000000"/>
        </w:rPr>
        <w:t>Ventilation</w:t>
      </w:r>
      <w:r>
        <w:rPr>
          <w:b/>
          <w:i/>
        </w:rPr>
        <w:t xml:space="preserve"> </w:t>
      </w:r>
      <w:r>
        <w:rPr>
          <w:b/>
          <w:i/>
          <w:color w:val="000000"/>
        </w:rPr>
        <w:t>:</w:t>
      </w:r>
      <w:r>
        <w:rPr>
          <w:i/>
          <w:color w:val="000000"/>
        </w:rPr>
        <w:t xml:space="preserve"> Sauf dans le cas où la sécurité des travailleurs est assurée conformément au paragraphe 3 de l’article 303, aucun travailleur ne peut pénétrer ou être présent dans un espace clos à moins que celui-ci ne soit ventilé par des moyens naturels ou par des moyens mécaniques </w:t>
      </w:r>
      <w:proofErr w:type="gramStart"/>
      <w:r>
        <w:rPr>
          <w:i/>
          <w:color w:val="000000"/>
        </w:rPr>
        <w:t>de manière à ce</w:t>
      </w:r>
      <w:proofErr w:type="gramEnd"/>
      <w:r>
        <w:rPr>
          <w:i/>
          <w:color w:val="000000"/>
        </w:rPr>
        <w:t xml:space="preserve"> qu’y soient maintenues les conditions atmosphériques suivantes :</w:t>
      </w:r>
    </w:p>
    <w:p w14:paraId="0000007B" w14:textId="219575CD" w:rsidR="006B1DB6" w:rsidRDefault="00844031" w:rsidP="00824DE0">
      <w:pPr>
        <w:spacing w:before="120" w:after="120"/>
        <w:ind w:left="630" w:hanging="270"/>
        <w:jc w:val="both"/>
        <w:rPr>
          <w:i/>
        </w:rPr>
      </w:pPr>
      <w:r>
        <w:rPr>
          <w:i/>
        </w:rPr>
        <w:t xml:space="preserve">1° la concentration d’oxygène doit être supérieure ou égale à </w:t>
      </w:r>
      <w:r w:rsidR="00953AE4">
        <w:rPr>
          <w:i/>
        </w:rPr>
        <w:t>19</w:t>
      </w:r>
      <w:r>
        <w:rPr>
          <w:i/>
        </w:rPr>
        <w:t>,5% et inférieure ou égale à 23%;</w:t>
      </w:r>
    </w:p>
    <w:p w14:paraId="0000007C" w14:textId="77777777" w:rsidR="006B1DB6" w:rsidRDefault="00844031" w:rsidP="00824DE0">
      <w:pPr>
        <w:spacing w:before="120" w:after="120"/>
        <w:ind w:left="630" w:hanging="270"/>
        <w:jc w:val="both"/>
        <w:rPr>
          <w:i/>
        </w:rPr>
      </w:pPr>
      <w:r>
        <w:rPr>
          <w:i/>
        </w:rPr>
        <w:t>2° la concentration de gaz ou de vapeurs inflammables doit être inférieure ou égale à 5% de la limite inférieure d’explosion;</w:t>
      </w:r>
    </w:p>
    <w:p w14:paraId="0000007D" w14:textId="77777777" w:rsidR="006B1DB6" w:rsidRDefault="00844031" w:rsidP="00824DE0">
      <w:pPr>
        <w:spacing w:before="120" w:after="120"/>
        <w:ind w:left="630" w:hanging="270"/>
        <w:jc w:val="both"/>
        <w:rPr>
          <w:i/>
        </w:rPr>
      </w:pPr>
      <w:r>
        <w:rPr>
          <w:i/>
        </w:rPr>
        <w:t xml:space="preserve">3° la concentration d’un ou plusieurs des contaminants visés au sous-paragraphe </w:t>
      </w:r>
      <w:r>
        <w:t>a</w:t>
      </w:r>
      <w:r>
        <w:rPr>
          <w:i/>
        </w:rPr>
        <w:t xml:space="preserve"> du paragraphe 1 du premier alinéa de l’article 300 ne doit pas excéder les normes prévues à l’annexe I, pour ces contaminants.</w:t>
      </w:r>
    </w:p>
    <w:p w14:paraId="0000007E" w14:textId="77777777" w:rsidR="006B1DB6" w:rsidRDefault="00844031" w:rsidP="00824DE0">
      <w:pPr>
        <w:spacing w:before="120"/>
        <w:ind w:left="634" w:hanging="274"/>
        <w:jc w:val="both"/>
        <w:rPr>
          <w:i/>
        </w:rPr>
      </w:pPr>
      <w:r>
        <w:rPr>
          <w:i/>
        </w:rPr>
        <w:t>S’il se révèle impossible, en ventilant l’espace clos, d’y maintenir une atmosphère interne conforme aux normes prévues aux paragraphes 1 et 3 du premier alinéa, un travailleur ne peut pénétrer ou être présent dans cet espace clos que s’il porte l’équipement de protection respiratoire prévu à l’article 45 et que si l’atmosphère interne de cet espace clos est conforme aux normes prévues au paragraphe 2 du premier alinéa. »</w:t>
      </w:r>
    </w:p>
    <w:p w14:paraId="0000007F" w14:textId="77777777" w:rsidR="006B1DB6" w:rsidRDefault="006B1DB6" w:rsidP="00824DE0">
      <w:pPr>
        <w:ind w:left="274" w:hanging="274"/>
        <w:jc w:val="both"/>
      </w:pPr>
    </w:p>
    <w:p w14:paraId="00000080" w14:textId="77777777" w:rsidR="006B1DB6" w:rsidRDefault="00844031" w:rsidP="00824DE0">
      <w:pPr>
        <w:numPr>
          <w:ilvl w:val="0"/>
          <w:numId w:val="20"/>
        </w:numPr>
        <w:pBdr>
          <w:top w:val="nil"/>
          <w:left w:val="nil"/>
          <w:bottom w:val="nil"/>
          <w:right w:val="nil"/>
          <w:between w:val="nil"/>
        </w:pBdr>
        <w:spacing w:after="120"/>
        <w:jc w:val="both"/>
        <w:rPr>
          <w:i/>
          <w:color w:val="000000"/>
        </w:rPr>
      </w:pPr>
      <w:r>
        <w:rPr>
          <w:i/>
          <w:color w:val="000000"/>
        </w:rPr>
        <w:t>« </w:t>
      </w:r>
      <w:r>
        <w:rPr>
          <w:b/>
          <w:i/>
          <w:color w:val="000000"/>
        </w:rPr>
        <w:t>303. Poussières combustibles :</w:t>
      </w:r>
      <w:r>
        <w:rPr>
          <w:i/>
          <w:color w:val="000000"/>
        </w:rPr>
        <w:t xml:space="preserve"> Aucun travailleur ne peut pénétrer ou être présent dans un espace clos où il y a des poussières combustibles présentant un danger de feu ou d’explosion, à moins que la sécurité des travailleurs ne soit assurée par la mise en application de l’une ou l’autre des procédures suivantes :</w:t>
      </w:r>
    </w:p>
    <w:p w14:paraId="00000081" w14:textId="77777777" w:rsidR="006B1DB6" w:rsidRDefault="00844031" w:rsidP="00824DE0">
      <w:pPr>
        <w:spacing w:before="120" w:after="120"/>
        <w:ind w:left="630" w:hanging="270"/>
        <w:jc w:val="both"/>
        <w:rPr>
          <w:i/>
        </w:rPr>
      </w:pPr>
      <w:r>
        <w:rPr>
          <w:i/>
        </w:rPr>
        <w:t>1° par le maintien et le contrôle à un niveau sécuritaire de ces poussières;</w:t>
      </w:r>
    </w:p>
    <w:p w14:paraId="00000082" w14:textId="77777777" w:rsidR="006B1DB6" w:rsidRDefault="00844031" w:rsidP="00824DE0">
      <w:pPr>
        <w:spacing w:before="120" w:after="120"/>
        <w:ind w:left="630" w:hanging="270"/>
        <w:jc w:val="both"/>
        <w:rPr>
          <w:i/>
        </w:rPr>
      </w:pPr>
      <w:r>
        <w:rPr>
          <w:i/>
        </w:rPr>
        <w:t>2° par le contrôle des sources d’inflammation présentes dans l’espace clos associé à la formation du travailleur, par une personne qualifiée, sur les méthodes et techniques à utiliser pour accomplir le travail de façon sécuritaire;</w:t>
      </w:r>
    </w:p>
    <w:p w14:paraId="00000083" w14:textId="77777777" w:rsidR="006B1DB6" w:rsidRDefault="00844031" w:rsidP="00824DE0">
      <w:pPr>
        <w:spacing w:before="120"/>
        <w:ind w:left="634" w:hanging="274"/>
        <w:jc w:val="both"/>
        <w:rPr>
          <w:i/>
        </w:rPr>
      </w:pPr>
      <w:r>
        <w:rPr>
          <w:i/>
        </w:rPr>
        <w:t>3° par la mise à l’état inerte de l’atmosphère de l’espace clos, associée au port par le travailleur de l’équipement de protection respiratoire prévu à l’article 45 et à la formation de celui-ci conformément au paragraphe 2. »</w:t>
      </w:r>
    </w:p>
    <w:p w14:paraId="00000084" w14:textId="77777777" w:rsidR="006B1DB6" w:rsidRDefault="006B1DB6" w:rsidP="00824DE0">
      <w:pPr>
        <w:ind w:left="274" w:hanging="274"/>
        <w:jc w:val="both"/>
        <w:rPr>
          <w:i/>
        </w:rPr>
      </w:pPr>
    </w:p>
    <w:p w14:paraId="00000085" w14:textId="77777777" w:rsidR="006B1DB6" w:rsidRDefault="00844031" w:rsidP="00824DE0">
      <w:pPr>
        <w:numPr>
          <w:ilvl w:val="0"/>
          <w:numId w:val="20"/>
        </w:numPr>
        <w:pBdr>
          <w:top w:val="nil"/>
          <w:left w:val="nil"/>
          <w:bottom w:val="nil"/>
          <w:right w:val="nil"/>
          <w:between w:val="nil"/>
        </w:pBdr>
        <w:spacing w:after="120"/>
        <w:jc w:val="both"/>
        <w:rPr>
          <w:i/>
          <w:color w:val="000000"/>
        </w:rPr>
      </w:pPr>
      <w:r>
        <w:rPr>
          <w:i/>
          <w:color w:val="000000"/>
        </w:rPr>
        <w:t>« </w:t>
      </w:r>
      <w:r>
        <w:rPr>
          <w:b/>
          <w:i/>
          <w:color w:val="000000"/>
        </w:rPr>
        <w:t>306.</w:t>
      </w:r>
      <w:r>
        <w:rPr>
          <w:i/>
          <w:color w:val="000000"/>
        </w:rPr>
        <w:t xml:space="preserve"> </w:t>
      </w:r>
      <w:r>
        <w:rPr>
          <w:b/>
          <w:i/>
          <w:color w:val="000000"/>
        </w:rPr>
        <w:t>Méthode et fréquence des relevés atmosphériques :</w:t>
      </w:r>
      <w:r>
        <w:rPr>
          <w:i/>
          <w:color w:val="000000"/>
        </w:rPr>
        <w:t xml:space="preserve"> Lorsque des risques associés à l’atmosphère sont identifiés, des relevés de la concentration de l’oxygène dans l’espace clos ainsi que des gaz et des vapeurs inflammables et des contaminants mesurables par lecture directe et susceptibles d’être présents dans l’espace clos ou aux environs de celui-ci doivent être effectués :</w:t>
      </w:r>
    </w:p>
    <w:p w14:paraId="00000086" w14:textId="77777777" w:rsidR="006B1DB6" w:rsidRDefault="00844031" w:rsidP="00824DE0">
      <w:pPr>
        <w:spacing w:before="120" w:after="120"/>
        <w:ind w:left="630" w:hanging="270"/>
        <w:jc w:val="both"/>
        <w:rPr>
          <w:i/>
        </w:rPr>
      </w:pPr>
      <w:r>
        <w:rPr>
          <w:i/>
        </w:rPr>
        <w:lastRenderedPageBreak/>
        <w:t>1° avant que les travailleurs ne pénètrent dans l’espace clos et, par la suite, de façon continue ou périodique suivant l’évaluation du danger faite par une</w:t>
      </w:r>
      <w:r>
        <w:rPr>
          <w:b/>
          <w:i/>
        </w:rPr>
        <w:t xml:space="preserve"> </w:t>
      </w:r>
      <w:r>
        <w:rPr>
          <w:i/>
        </w:rPr>
        <w:t>personne qualifiée;</w:t>
      </w:r>
    </w:p>
    <w:p w14:paraId="00000087" w14:textId="77777777" w:rsidR="006B1DB6" w:rsidRDefault="00844031" w:rsidP="00824DE0">
      <w:pPr>
        <w:spacing w:before="120" w:after="120"/>
        <w:ind w:left="630" w:hanging="270"/>
        <w:jc w:val="both"/>
        <w:rPr>
          <w:i/>
        </w:rPr>
      </w:pPr>
      <w:r>
        <w:rPr>
          <w:i/>
        </w:rPr>
        <w:t>2° si des circonstances viennent modifier l’atmosphère interne de l’espace clos et entraînent une évacuation des travailleurs en raison du fait que la qualité de l’air n’est plus conforme aux normes prévues aux paragraphes 1 à 3 du premier alinéa de l’article 302;</w:t>
      </w:r>
    </w:p>
    <w:p w14:paraId="00000088" w14:textId="77777777" w:rsidR="006B1DB6" w:rsidRDefault="00844031" w:rsidP="00824DE0">
      <w:pPr>
        <w:spacing w:before="120" w:after="120"/>
        <w:ind w:left="630" w:hanging="270"/>
        <w:jc w:val="both"/>
        <w:rPr>
          <w:i/>
        </w:rPr>
      </w:pPr>
      <w:r>
        <w:rPr>
          <w:i/>
        </w:rPr>
        <w:t>3° si les travailleurs quittent l’espace clos et le lieu de travail, même momentanément, à moins que ces relevés ne soient effectués de façon continue.</w:t>
      </w:r>
    </w:p>
    <w:p w14:paraId="00000089" w14:textId="77777777" w:rsidR="006B1DB6" w:rsidRDefault="00844031" w:rsidP="00824DE0">
      <w:pPr>
        <w:spacing w:before="120" w:after="120"/>
        <w:ind w:left="630"/>
        <w:jc w:val="both"/>
        <w:rPr>
          <w:i/>
        </w:rPr>
      </w:pPr>
      <w:r>
        <w:rPr>
          <w:i/>
        </w:rPr>
        <w:t>Les relevés doivent être effectués de manière à obtenir une précision équivalente à celle obtenue en suivant les méthodes décrites à l’article 44 ou, lorsque ces méthodes ne peuvent être appliquées, en suivant une autre méthode reconnue.</w:t>
      </w:r>
    </w:p>
    <w:p w14:paraId="0000008A" w14:textId="77777777" w:rsidR="006B1DB6" w:rsidRDefault="00844031" w:rsidP="00824DE0">
      <w:pPr>
        <w:spacing w:before="120"/>
        <w:ind w:left="634" w:hanging="274"/>
        <w:jc w:val="both"/>
        <w:rPr>
          <w:i/>
        </w:rPr>
      </w:pPr>
      <w:r>
        <w:rPr>
          <w:i/>
        </w:rPr>
        <w:t>4° lorsqu’un risque atmosphérique autre que ceux identifiés conformément à l’article 300 est identifié et susceptible de modifier l’atmosphère interne de l’espace clos, telle l’introduction d’un produit ou d’une matière pouvant dégager des gaz ou des vapeurs toxiques ou inflammables. »</w:t>
      </w:r>
    </w:p>
    <w:p w14:paraId="0000008B" w14:textId="77777777" w:rsidR="006B1DB6" w:rsidRDefault="006B1DB6" w:rsidP="00824DE0">
      <w:pPr>
        <w:spacing w:before="120"/>
        <w:ind w:left="634" w:hanging="274"/>
        <w:jc w:val="both"/>
        <w:rPr>
          <w:i/>
        </w:rPr>
      </w:pPr>
    </w:p>
    <w:p w14:paraId="0000008C" w14:textId="77777777" w:rsidR="006B1DB6" w:rsidRDefault="00844031" w:rsidP="00824DE0">
      <w:pPr>
        <w:numPr>
          <w:ilvl w:val="0"/>
          <w:numId w:val="20"/>
        </w:numPr>
        <w:pBdr>
          <w:top w:val="nil"/>
          <w:left w:val="nil"/>
          <w:bottom w:val="nil"/>
          <w:right w:val="nil"/>
          <w:between w:val="nil"/>
        </w:pBdr>
        <w:spacing w:after="120"/>
        <w:jc w:val="both"/>
        <w:rPr>
          <w:i/>
          <w:color w:val="000000"/>
        </w:rPr>
      </w:pPr>
      <w:r>
        <w:rPr>
          <w:i/>
          <w:color w:val="000000"/>
        </w:rPr>
        <w:t>«</w:t>
      </w:r>
      <w:r>
        <w:rPr>
          <w:b/>
          <w:i/>
          <w:color w:val="000000"/>
        </w:rPr>
        <w:t xml:space="preserve"> 311. Précautions relatives aux matières solides à écoulement libre : </w:t>
      </w:r>
      <w:r>
        <w:rPr>
          <w:i/>
          <w:color w:val="000000"/>
        </w:rPr>
        <w:t>Il est interdit de pénétrer dans un espace clos servant à emmagasiner des matières solides à écoulement libre.</w:t>
      </w:r>
    </w:p>
    <w:p w14:paraId="0000008D" w14:textId="77777777" w:rsidR="006B1DB6" w:rsidRDefault="00844031" w:rsidP="00824DE0">
      <w:pPr>
        <w:spacing w:before="120" w:after="120"/>
        <w:ind w:left="360"/>
        <w:jc w:val="both"/>
        <w:rPr>
          <w:i/>
        </w:rPr>
      </w:pPr>
      <w:r>
        <w:rPr>
          <w:i/>
        </w:rPr>
        <w:t xml:space="preserve">Toutefois, lorsqu’il est indispensable qu’un travailleur y pénètre, une des mesures de sécurité prévue à l’article 33.2 doit être utilisée </w:t>
      </w:r>
      <w:proofErr w:type="gramStart"/>
      <w:r>
        <w:rPr>
          <w:i/>
        </w:rPr>
        <w:t>de façon à ce</w:t>
      </w:r>
      <w:proofErr w:type="gramEnd"/>
      <w:r>
        <w:rPr>
          <w:i/>
        </w:rPr>
        <w:t xml:space="preserve"> que le travailleur ne puisse tomber dans les matières emmagasinées ou ne puisse être enseveli. De plus, ce travailleur ne peut y pénétrer :</w:t>
      </w:r>
    </w:p>
    <w:p w14:paraId="0000008E" w14:textId="77777777" w:rsidR="006B1DB6" w:rsidRDefault="00844031" w:rsidP="00824DE0">
      <w:pPr>
        <w:spacing w:before="120" w:after="120"/>
        <w:ind w:left="540" w:hanging="180"/>
        <w:jc w:val="both"/>
        <w:rPr>
          <w:i/>
        </w:rPr>
      </w:pPr>
      <w:r>
        <w:rPr>
          <w:i/>
        </w:rPr>
        <w:t>1° tant que le remplissage ou la vidange se poursuit et que des précautions, telles la fermeture et le verrouillage des trappes d’écoulement ou l’application de mesures de contrôle des énergies, n’ont pas été prises pour prévenir une reprise accidentelle de ces opérations;</w:t>
      </w:r>
    </w:p>
    <w:p w14:paraId="0000008F" w14:textId="77777777" w:rsidR="006B1DB6" w:rsidRDefault="00844031" w:rsidP="00824DE0">
      <w:pPr>
        <w:ind w:left="360"/>
        <w:jc w:val="both"/>
        <w:rPr>
          <w:i/>
        </w:rPr>
      </w:pPr>
      <w:r>
        <w:rPr>
          <w:i/>
        </w:rPr>
        <w:t xml:space="preserve">2° sans d’abord vérifier et éliminer les risques associés : </w:t>
      </w:r>
    </w:p>
    <w:p w14:paraId="00000090" w14:textId="77777777" w:rsidR="006B1DB6" w:rsidRDefault="00844031" w:rsidP="00824DE0">
      <w:pPr>
        <w:ind w:left="1080" w:hanging="360"/>
        <w:jc w:val="both"/>
        <w:rPr>
          <w:i/>
        </w:rPr>
      </w:pPr>
      <w:r>
        <w:rPr>
          <w:i/>
        </w:rPr>
        <w:t>a)</w:t>
      </w:r>
      <w:r>
        <w:rPr>
          <w:i/>
        </w:rPr>
        <w:tab/>
        <w:t xml:space="preserve">aux cavités pouvant être présentes sous la surface des matières emmagasinées; </w:t>
      </w:r>
    </w:p>
    <w:p w14:paraId="00000091" w14:textId="77777777" w:rsidR="006B1DB6" w:rsidRDefault="00844031" w:rsidP="00824DE0">
      <w:pPr>
        <w:ind w:left="1080" w:hanging="360"/>
        <w:jc w:val="both"/>
        <w:rPr>
          <w:i/>
        </w:rPr>
      </w:pPr>
      <w:r>
        <w:rPr>
          <w:i/>
        </w:rPr>
        <w:t>b)</w:t>
      </w:r>
      <w:r>
        <w:rPr>
          <w:i/>
        </w:rPr>
        <w:tab/>
        <w:t xml:space="preserve">aux glissements de matières empilées ou à la chute de morceaux de matières agglomérées; </w:t>
      </w:r>
    </w:p>
    <w:p w14:paraId="00000092" w14:textId="77777777" w:rsidR="006B1DB6" w:rsidRDefault="00844031" w:rsidP="00824DE0">
      <w:pPr>
        <w:spacing w:before="120"/>
        <w:ind w:left="360"/>
        <w:jc w:val="both"/>
        <w:rPr>
          <w:i/>
        </w:rPr>
      </w:pPr>
      <w:r>
        <w:rPr>
          <w:i/>
        </w:rPr>
        <w:t>3° par-dessous une voûte formée par les matières présentent dans l’espace clos. »</w:t>
      </w:r>
    </w:p>
    <w:p w14:paraId="00000093" w14:textId="77777777" w:rsidR="006B1DB6" w:rsidRDefault="006B1DB6" w:rsidP="00824DE0">
      <w:pPr>
        <w:jc w:val="both"/>
      </w:pPr>
    </w:p>
    <w:p w14:paraId="00000094" w14:textId="77777777" w:rsidR="006B1DB6" w:rsidRDefault="00844031" w:rsidP="00824DE0">
      <w:pPr>
        <w:numPr>
          <w:ilvl w:val="0"/>
          <w:numId w:val="20"/>
        </w:numPr>
        <w:pBdr>
          <w:top w:val="nil"/>
          <w:left w:val="nil"/>
          <w:bottom w:val="nil"/>
          <w:right w:val="nil"/>
          <w:between w:val="nil"/>
        </w:pBdr>
        <w:spacing w:after="120"/>
        <w:jc w:val="both"/>
        <w:rPr>
          <w:i/>
          <w:color w:val="000000"/>
        </w:rPr>
      </w:pPr>
      <w:r>
        <w:rPr>
          <w:i/>
          <w:color w:val="000000"/>
        </w:rPr>
        <w:t>«</w:t>
      </w:r>
      <w:r>
        <w:rPr>
          <w:b/>
          <w:i/>
          <w:color w:val="000000"/>
        </w:rPr>
        <w:t xml:space="preserve"> 312. Précautions relatives aux matières liquides : </w:t>
      </w:r>
      <w:r>
        <w:rPr>
          <w:i/>
          <w:color w:val="000000"/>
        </w:rPr>
        <w:t xml:space="preserve">Il est interdit de pénétrer dans un espace clos où il y a un risque de noyade sans appliquer une procédure d’isolement de la section où a lieu le travail ou une procédure de contrôle de l’écoulement pour empêcher l’arrivée ou la montée du niveau d’un liquide. </w:t>
      </w:r>
    </w:p>
    <w:p w14:paraId="00000095" w14:textId="77777777" w:rsidR="006B1DB6" w:rsidRDefault="00844031" w:rsidP="00824DE0">
      <w:pPr>
        <w:spacing w:before="120"/>
        <w:ind w:left="360"/>
        <w:jc w:val="both"/>
        <w:rPr>
          <w:i/>
        </w:rPr>
      </w:pPr>
      <w:r>
        <w:rPr>
          <w:i/>
        </w:rPr>
        <w:t>La procédure d’isolement de la section ou de contrôle de l’écoulement peut notamment prévoir la vidange ou la dérivation du liquide, l’obturation de conduits ou la fermeture et le verrouillage de valves. »</w:t>
      </w:r>
      <w:r>
        <w:rPr>
          <w:i/>
        </w:rPr>
        <w:br/>
      </w:r>
    </w:p>
    <w:p w14:paraId="00000096" w14:textId="77777777" w:rsidR="006B1DB6" w:rsidRDefault="00844031" w:rsidP="00824DE0">
      <w:pPr>
        <w:spacing w:before="120" w:after="120"/>
        <w:jc w:val="both"/>
        <w:rPr>
          <w:b/>
        </w:rPr>
      </w:pPr>
      <w:r>
        <w:rPr>
          <w:b/>
        </w:rPr>
        <w:t>L’article qui concerne la personne qualifiée et qui porte sur la formation pour l’application des procédures de sauvetage est le suivant :</w:t>
      </w:r>
    </w:p>
    <w:p w14:paraId="00000097" w14:textId="77777777" w:rsidR="006B1DB6" w:rsidRDefault="00844031" w:rsidP="00824DE0">
      <w:pPr>
        <w:numPr>
          <w:ilvl w:val="0"/>
          <w:numId w:val="20"/>
        </w:numPr>
        <w:pBdr>
          <w:top w:val="nil"/>
          <w:left w:val="nil"/>
          <w:bottom w:val="nil"/>
          <w:right w:val="nil"/>
          <w:between w:val="nil"/>
        </w:pBdr>
        <w:spacing w:after="120"/>
        <w:jc w:val="both"/>
        <w:rPr>
          <w:i/>
          <w:color w:val="000000"/>
        </w:rPr>
      </w:pPr>
      <w:r>
        <w:rPr>
          <w:i/>
          <w:color w:val="000000"/>
        </w:rPr>
        <w:t xml:space="preserve">« </w:t>
      </w:r>
      <w:r>
        <w:rPr>
          <w:b/>
          <w:i/>
          <w:color w:val="000000"/>
        </w:rPr>
        <w:t>309. Plan de sauvetage :</w:t>
      </w:r>
      <w:r>
        <w:rPr>
          <w:i/>
          <w:color w:val="000000"/>
        </w:rPr>
        <w:t xml:space="preserve"> Un plan de sauvetage, lequel inclut les équipements et les moyens pour secourir rapidement tout travailleur effectuant un travail dans un espace clos, doit être élaboré.</w:t>
      </w:r>
    </w:p>
    <w:p w14:paraId="00000098" w14:textId="77777777" w:rsidR="006B1DB6" w:rsidRDefault="00844031" w:rsidP="00824DE0">
      <w:pPr>
        <w:spacing w:before="120" w:after="120"/>
        <w:ind w:left="360"/>
        <w:jc w:val="both"/>
        <w:rPr>
          <w:i/>
        </w:rPr>
      </w:pPr>
      <w:r>
        <w:rPr>
          <w:i/>
        </w:rPr>
        <w:t>Les équipements requis par un plan de sauvetage ainsi que leurs accessoires, le cas échéant, doivent être :</w:t>
      </w:r>
    </w:p>
    <w:p w14:paraId="00000099" w14:textId="77777777" w:rsidR="006B1DB6" w:rsidRDefault="00844031" w:rsidP="00824DE0">
      <w:pPr>
        <w:spacing w:before="120" w:after="120"/>
        <w:ind w:left="360"/>
        <w:jc w:val="both"/>
        <w:rPr>
          <w:i/>
        </w:rPr>
      </w:pPr>
      <w:r>
        <w:rPr>
          <w:i/>
        </w:rPr>
        <w:t>1° adaptés à l’utilisation prévue, aux conditions spécifiques des travaux et de l’espace clos;</w:t>
      </w:r>
    </w:p>
    <w:p w14:paraId="0000009A" w14:textId="77777777" w:rsidR="006B1DB6" w:rsidRDefault="00844031" w:rsidP="00824DE0">
      <w:pPr>
        <w:spacing w:before="120" w:after="120"/>
        <w:ind w:left="360"/>
        <w:jc w:val="both"/>
        <w:rPr>
          <w:i/>
        </w:rPr>
      </w:pPr>
      <w:r>
        <w:rPr>
          <w:i/>
        </w:rPr>
        <w:t>2° vérifiés et maintenus en bon état;</w:t>
      </w:r>
    </w:p>
    <w:p w14:paraId="0000009B" w14:textId="77777777" w:rsidR="006B1DB6" w:rsidRDefault="00844031" w:rsidP="00824DE0">
      <w:pPr>
        <w:spacing w:before="120" w:after="120"/>
        <w:ind w:left="360"/>
        <w:jc w:val="both"/>
        <w:rPr>
          <w:i/>
        </w:rPr>
      </w:pPr>
      <w:r>
        <w:rPr>
          <w:i/>
        </w:rPr>
        <w:lastRenderedPageBreak/>
        <w:t>3° présents et facilement accessibles à proximité de l’espace clos en vue d’une intervention rapide.</w:t>
      </w:r>
    </w:p>
    <w:p w14:paraId="0000009C" w14:textId="77777777" w:rsidR="006B1DB6" w:rsidRDefault="00844031" w:rsidP="00824DE0">
      <w:pPr>
        <w:spacing w:before="120" w:after="120"/>
        <w:ind w:left="360"/>
        <w:jc w:val="both"/>
        <w:rPr>
          <w:i/>
        </w:rPr>
      </w:pPr>
      <w:r>
        <w:rPr>
          <w:i/>
        </w:rPr>
        <w:t xml:space="preserve">Le plan de sauvetage doit inclure un protocole d’appel et de communication pour déclencher les opérations de sauvetage. De plus, une personne doit y être nommément désignée pour diriger les opérations de sauvetage. </w:t>
      </w:r>
    </w:p>
    <w:p w14:paraId="0000009D" w14:textId="77777777" w:rsidR="006B1DB6" w:rsidRDefault="00844031" w:rsidP="00824DE0">
      <w:pPr>
        <w:spacing w:before="120" w:after="120"/>
        <w:ind w:left="360"/>
        <w:jc w:val="both"/>
        <w:rPr>
          <w:i/>
        </w:rPr>
      </w:pPr>
      <w:r>
        <w:rPr>
          <w:i/>
        </w:rPr>
        <w:t>Les travailleurs affectés à l’application des procédures de sauvetage doivent avoir reçu une formation élaborée par une personne qualifiée, incluant les techniques visant à éviter de mettre leur sécurité et celle des autres travailleurs en danger.</w:t>
      </w:r>
    </w:p>
    <w:p w14:paraId="0000009E" w14:textId="77777777" w:rsidR="006B1DB6" w:rsidRDefault="00844031" w:rsidP="00824DE0">
      <w:pPr>
        <w:spacing w:before="120"/>
        <w:ind w:left="360"/>
        <w:jc w:val="both"/>
        <w:rPr>
          <w:i/>
        </w:rPr>
      </w:pPr>
      <w:r>
        <w:rPr>
          <w:i/>
        </w:rPr>
        <w:t>Le plan de sauvetage doit être éprouvé par des exercices permettant notamment aux travailleurs d’être familiers avec leur rôle, le protocole de communication et l’utilisation des équipements de sauvetage prévus. »</w:t>
      </w:r>
    </w:p>
    <w:p w14:paraId="0000009F" w14:textId="77777777" w:rsidR="006B1DB6" w:rsidRDefault="006B1DB6" w:rsidP="00824DE0">
      <w:pPr>
        <w:jc w:val="both"/>
        <w:rPr>
          <w:i/>
        </w:rPr>
      </w:pPr>
    </w:p>
    <w:p w14:paraId="000000A0" w14:textId="77777777" w:rsidR="006B1DB6" w:rsidRDefault="00844031" w:rsidP="00824DE0">
      <w:pPr>
        <w:jc w:val="both"/>
        <w:rPr>
          <w:b/>
        </w:rPr>
      </w:pPr>
      <w:r>
        <w:rPr>
          <w:b/>
        </w:rPr>
        <w:t>D’autres articles portent sur les responsabilités de la personne qualifiée lorsqu’il s’agit d’assister les travailleuses et les travailleurs ainsi que les gestionnaires lors de situations particulières qui nécessitent des connaissances supplémentaires à la prise d’une décision :</w:t>
      </w:r>
    </w:p>
    <w:p w14:paraId="000000A1" w14:textId="77777777" w:rsidR="006B1DB6" w:rsidRDefault="006B1DB6" w:rsidP="00824DE0">
      <w:pPr>
        <w:jc w:val="both"/>
      </w:pPr>
    </w:p>
    <w:p w14:paraId="000000A2" w14:textId="77777777" w:rsidR="006B1DB6" w:rsidRDefault="00844031" w:rsidP="00824DE0">
      <w:pPr>
        <w:numPr>
          <w:ilvl w:val="0"/>
          <w:numId w:val="20"/>
        </w:numPr>
        <w:pBdr>
          <w:top w:val="nil"/>
          <w:left w:val="nil"/>
          <w:bottom w:val="nil"/>
          <w:right w:val="nil"/>
          <w:between w:val="nil"/>
        </w:pBdr>
        <w:jc w:val="both"/>
        <w:rPr>
          <w:i/>
          <w:color w:val="000000"/>
        </w:rPr>
      </w:pPr>
      <w:r>
        <w:rPr>
          <w:i/>
          <w:color w:val="000000"/>
        </w:rPr>
        <w:t xml:space="preserve">« </w:t>
      </w:r>
      <w:r>
        <w:rPr>
          <w:b/>
          <w:i/>
          <w:color w:val="000000"/>
        </w:rPr>
        <w:t>308.1 Situation imprévue :</w:t>
      </w:r>
      <w:r>
        <w:rPr>
          <w:i/>
          <w:color w:val="000000"/>
        </w:rPr>
        <w:t xml:space="preserve"> Le surveillant doit interdire l’entrée et, le cas échéant, ordonner l’évacuation d’un espace clos lorsque lui-même, une personne qualifiée ou un travailleur habilité identifie un risque pour la sécurité d’un travailleur, autre que ceux identifiés conformément à l’article 300. »</w:t>
      </w:r>
    </w:p>
    <w:p w14:paraId="000000A3" w14:textId="77777777" w:rsidR="006B1DB6" w:rsidRDefault="006B1DB6" w:rsidP="00824DE0">
      <w:pPr>
        <w:jc w:val="both"/>
      </w:pPr>
    </w:p>
    <w:p w14:paraId="000000A4" w14:textId="77777777" w:rsidR="006B1DB6" w:rsidRDefault="00844031" w:rsidP="00824DE0">
      <w:pPr>
        <w:numPr>
          <w:ilvl w:val="0"/>
          <w:numId w:val="20"/>
        </w:numPr>
        <w:pBdr>
          <w:top w:val="nil"/>
          <w:left w:val="nil"/>
          <w:bottom w:val="nil"/>
          <w:right w:val="nil"/>
          <w:between w:val="nil"/>
        </w:pBdr>
        <w:jc w:val="both"/>
        <w:rPr>
          <w:i/>
          <w:color w:val="000000"/>
        </w:rPr>
      </w:pPr>
      <w:r>
        <w:rPr>
          <w:i/>
          <w:color w:val="000000"/>
        </w:rPr>
        <w:t xml:space="preserve">« </w:t>
      </w:r>
      <w:r>
        <w:rPr>
          <w:b/>
          <w:i/>
          <w:color w:val="000000"/>
        </w:rPr>
        <w:t>308.2 Reprise du travail :</w:t>
      </w:r>
      <w:r>
        <w:rPr>
          <w:i/>
          <w:color w:val="000000"/>
        </w:rPr>
        <w:t xml:space="preserve"> Le travail qui est interrompu en application de l’article 308.1 ne peut reprendre que si une personne qualifiée</w:t>
      </w:r>
      <w:r>
        <w:rPr>
          <w:b/>
          <w:i/>
        </w:rPr>
        <w:t xml:space="preserve"> </w:t>
      </w:r>
      <w:r>
        <w:rPr>
          <w:i/>
          <w:color w:val="000000"/>
        </w:rPr>
        <w:t xml:space="preserve">révise les renseignements recueillis et détermine les moyens de prévention appropriés conformément à l’article 300. </w:t>
      </w:r>
      <w:r>
        <w:rPr>
          <w:i/>
        </w:rPr>
        <w:t>»</w:t>
      </w:r>
    </w:p>
    <w:p w14:paraId="000000A5" w14:textId="77777777" w:rsidR="006B1DB6" w:rsidRDefault="006B1DB6" w:rsidP="00824DE0">
      <w:pPr>
        <w:jc w:val="both"/>
      </w:pPr>
    </w:p>
    <w:p w14:paraId="000000A6" w14:textId="77777777" w:rsidR="006B1DB6" w:rsidRDefault="00844031" w:rsidP="00824DE0">
      <w:pPr>
        <w:spacing w:after="120"/>
        <w:jc w:val="both"/>
        <w:rPr>
          <w:b/>
        </w:rPr>
      </w:pPr>
      <w:r>
        <w:rPr>
          <w:b/>
        </w:rPr>
        <w:t>En outre, un article porte indirectement sur l’expertise des personnes qualifiées dans le choix des moyens de prévention à intégrer dès la conception de nouveaux espaces clos ou la rénovation de ceux-ci, afin d’éliminer, voire réduire les risques à la source même des dangers :</w:t>
      </w:r>
    </w:p>
    <w:p w14:paraId="000000A7" w14:textId="77777777" w:rsidR="006B1DB6" w:rsidRDefault="00844031" w:rsidP="00824DE0">
      <w:pPr>
        <w:numPr>
          <w:ilvl w:val="0"/>
          <w:numId w:val="21"/>
        </w:numPr>
        <w:pBdr>
          <w:top w:val="nil"/>
          <w:left w:val="nil"/>
          <w:bottom w:val="nil"/>
          <w:right w:val="nil"/>
          <w:between w:val="nil"/>
        </w:pBdr>
        <w:spacing w:after="60"/>
        <w:jc w:val="both"/>
        <w:rPr>
          <w:i/>
          <w:color w:val="000000"/>
        </w:rPr>
      </w:pPr>
      <w:r>
        <w:rPr>
          <w:i/>
          <w:color w:val="000000"/>
        </w:rPr>
        <w:t>« </w:t>
      </w:r>
      <w:r>
        <w:rPr>
          <w:b/>
          <w:i/>
          <w:color w:val="000000"/>
        </w:rPr>
        <w:t xml:space="preserve">297.1 Aménagement d’un espace clos : </w:t>
      </w:r>
      <w:r>
        <w:rPr>
          <w:i/>
          <w:color w:val="000000"/>
        </w:rPr>
        <w:t>Dans le cas d’un nouvel espace clos ou de la rénovation d’un espace clos existant, son aménagement doit intégrer des équipements et des installations permettant d’intervenir à partir de l’extérieur. De plus, des méthodes de travail correspondantes, prenant en compte les risques autour de l’espace clos, doivent être élaborées et être disponibles sur les lieux de travail avant sa mise en service.</w:t>
      </w:r>
    </w:p>
    <w:p w14:paraId="000000A8" w14:textId="77777777" w:rsidR="006B1DB6" w:rsidRDefault="00844031" w:rsidP="00824DE0">
      <w:pPr>
        <w:spacing w:after="60"/>
        <w:ind w:left="708"/>
        <w:jc w:val="both"/>
        <w:rPr>
          <w:i/>
        </w:rPr>
      </w:pPr>
      <w:r>
        <w:rPr>
          <w:i/>
        </w:rPr>
        <w:t>S’il est impossible, dans les cas prévus au premier alinéa, d’intégrer des équipements et des installations permettant d’intervenir à partir de l’extérieur, l’aménagement de l’espace clos doit permettre de contrôler efficacement les risques identifiés selon la cueillette de renseignements prescrite à l’article 300. De plus, cet aménagement doit notamment intégrer des équipements et des installations qui permettent :</w:t>
      </w:r>
    </w:p>
    <w:p w14:paraId="000000A9" w14:textId="77777777" w:rsidR="006B1DB6" w:rsidRDefault="00844031" w:rsidP="00824DE0">
      <w:pPr>
        <w:tabs>
          <w:tab w:val="left" w:pos="254"/>
        </w:tabs>
        <w:ind w:left="962" w:hanging="270"/>
        <w:jc w:val="both"/>
        <w:rPr>
          <w:i/>
        </w:rPr>
      </w:pPr>
      <w:r>
        <w:rPr>
          <w:i/>
        </w:rPr>
        <w:t>1°</w:t>
      </w:r>
      <w:r>
        <w:rPr>
          <w:i/>
        </w:rPr>
        <w:tab/>
        <w:t>de contrôler les risques atmosphériques, d’ensevelissement ou de noyade;</w:t>
      </w:r>
    </w:p>
    <w:p w14:paraId="000000AA" w14:textId="77777777" w:rsidR="006B1DB6" w:rsidRDefault="00844031" w:rsidP="00824DE0">
      <w:pPr>
        <w:tabs>
          <w:tab w:val="left" w:pos="254"/>
        </w:tabs>
        <w:ind w:left="962" w:hanging="270"/>
        <w:jc w:val="both"/>
        <w:rPr>
          <w:i/>
        </w:rPr>
      </w:pPr>
      <w:r>
        <w:rPr>
          <w:i/>
        </w:rPr>
        <w:t>2°</w:t>
      </w:r>
      <w:r>
        <w:rPr>
          <w:i/>
        </w:rPr>
        <w:tab/>
        <w:t>de faciliter l’entrée et la sortie, les déplacements à l’intérieur, ainsi que le sauvetage;</w:t>
      </w:r>
    </w:p>
    <w:p w14:paraId="000000AB" w14:textId="77777777" w:rsidR="006B1DB6" w:rsidRDefault="00844031" w:rsidP="00824DE0">
      <w:pPr>
        <w:tabs>
          <w:tab w:val="left" w:pos="254"/>
        </w:tabs>
        <w:ind w:left="962" w:hanging="270"/>
        <w:jc w:val="both"/>
        <w:rPr>
          <w:i/>
        </w:rPr>
      </w:pPr>
      <w:r>
        <w:rPr>
          <w:i/>
        </w:rPr>
        <w:t>3°</w:t>
      </w:r>
      <w:r>
        <w:rPr>
          <w:i/>
        </w:rPr>
        <w:tab/>
        <w:t>d’en contrôler l’accès et de prévenir les chutes;</w:t>
      </w:r>
    </w:p>
    <w:p w14:paraId="000000AC" w14:textId="77777777" w:rsidR="006B1DB6" w:rsidRDefault="00844031" w:rsidP="00824DE0">
      <w:pPr>
        <w:pBdr>
          <w:top w:val="nil"/>
          <w:left w:val="nil"/>
          <w:bottom w:val="nil"/>
          <w:right w:val="nil"/>
          <w:between w:val="nil"/>
        </w:pBdr>
        <w:spacing w:after="120"/>
        <w:ind w:left="720"/>
        <w:jc w:val="both"/>
        <w:rPr>
          <w:i/>
          <w:color w:val="000000"/>
        </w:rPr>
      </w:pPr>
      <w:r>
        <w:rPr>
          <w:i/>
          <w:color w:val="000000"/>
        </w:rPr>
        <w:t>4°</w:t>
      </w:r>
      <w:r>
        <w:rPr>
          <w:b/>
          <w:i/>
          <w:color w:val="000000"/>
        </w:rPr>
        <w:t xml:space="preserve"> </w:t>
      </w:r>
      <w:r>
        <w:rPr>
          <w:i/>
          <w:color w:val="000000"/>
        </w:rPr>
        <w:t>de contrôler les autres risques pouvant compromettre la santé ou la sécurité d’un travailleur ».</w:t>
      </w:r>
    </w:p>
    <w:p w14:paraId="000000AD" w14:textId="77777777" w:rsidR="006B1DB6" w:rsidRDefault="00844031" w:rsidP="00824DE0">
      <w:pPr>
        <w:jc w:val="both"/>
      </w:pPr>
      <w:r>
        <w:t xml:space="preserve">Pour toutes ces raisons, il est recommandé de désigner des </w:t>
      </w:r>
      <w:r>
        <w:rPr>
          <w:b/>
        </w:rPr>
        <w:t>personnes qualifiées</w:t>
      </w:r>
      <w:r>
        <w:t xml:space="preserve"> qui auront le mandat d’effectuer ces tâches. </w:t>
      </w:r>
    </w:p>
    <w:p w14:paraId="000000AE" w14:textId="77777777" w:rsidR="006B1DB6" w:rsidRDefault="006B1DB6" w:rsidP="00824DE0">
      <w:pPr>
        <w:jc w:val="both"/>
      </w:pPr>
    </w:p>
    <w:p w14:paraId="000000AF" w14:textId="77777777" w:rsidR="006B1DB6" w:rsidRDefault="006B1DB6" w:rsidP="00824DE0">
      <w:pPr>
        <w:jc w:val="both"/>
      </w:pPr>
    </w:p>
    <w:p w14:paraId="000000B0" w14:textId="77777777" w:rsidR="006B1DB6" w:rsidRDefault="00844031" w:rsidP="00824DE0">
      <w:pPr>
        <w:pStyle w:val="Titre2"/>
        <w:jc w:val="both"/>
      </w:pPr>
      <w:bookmarkStart w:id="6" w:name="_Toc143845828"/>
      <w:r>
        <w:lastRenderedPageBreak/>
        <w:t>3.4</w:t>
      </w:r>
      <w:r>
        <w:tab/>
        <w:t>Former et informer les membres du comité de travail paritaire</w:t>
      </w:r>
      <w:bookmarkEnd w:id="6"/>
    </w:p>
    <w:p w14:paraId="000000B1" w14:textId="77AFD8BB" w:rsidR="006B1DB6" w:rsidRDefault="00844031" w:rsidP="00824DE0">
      <w:pPr>
        <w:spacing w:before="60" w:after="60"/>
        <w:jc w:val="both"/>
      </w:pPr>
      <w:r>
        <w:t>Afin de contribuer efficacement à la réalisation du plan d’action, les membres du comité doivent avoir des connaissances de base sur les risques et les moyens de prévention</w:t>
      </w:r>
      <w:r w:rsidR="005E60F2">
        <w:t xml:space="preserve"> liés aux </w:t>
      </w:r>
      <w:r>
        <w:t xml:space="preserve">interventions en espaces clos. </w:t>
      </w:r>
    </w:p>
    <w:p w14:paraId="000000B2" w14:textId="77777777" w:rsidR="006B1DB6" w:rsidRDefault="00844031" w:rsidP="00824DE0">
      <w:pPr>
        <w:spacing w:before="60" w:after="60"/>
        <w:jc w:val="both"/>
      </w:pPr>
      <w:r>
        <w:t xml:space="preserve">Nous recommandons donc de former et informer tous les membres de ce comité, incluant la coordonnatrice ou le coordonnateur ainsi que les personnes qualifiées afin de s’assurer que tous acquièrent les connaissances nécessaires à la réalisation de leur mandat. </w:t>
      </w:r>
    </w:p>
    <w:p w14:paraId="000000B3" w14:textId="77777777" w:rsidR="006B1DB6" w:rsidRDefault="00844031" w:rsidP="00824DE0">
      <w:pPr>
        <w:spacing w:before="60" w:after="60"/>
        <w:jc w:val="both"/>
      </w:pPr>
      <w:r>
        <w:t>Des formations complémentaires peuvent aussi être requises (cadenassage, SIMDUT, etc.). Voir aussi la section 10.4 de ce document.</w:t>
      </w:r>
    </w:p>
    <w:p w14:paraId="000000B4" w14:textId="77777777" w:rsidR="006B1DB6" w:rsidRDefault="00844031" w:rsidP="00824DE0">
      <w:pPr>
        <w:spacing w:before="60" w:after="60"/>
        <w:jc w:val="both"/>
      </w:pPr>
      <w:r>
        <w:t xml:space="preserve">Référez-vous à votre ASP pour connaître les formations recommandées. </w:t>
      </w:r>
    </w:p>
    <w:p w14:paraId="000000B5" w14:textId="77777777" w:rsidR="006B1DB6" w:rsidRDefault="006B1DB6" w:rsidP="00824DE0">
      <w:pPr>
        <w:jc w:val="both"/>
      </w:pPr>
    </w:p>
    <w:p w14:paraId="000000B6" w14:textId="77777777" w:rsidR="006B1DB6" w:rsidRDefault="00844031" w:rsidP="00F4051F">
      <w:pPr>
        <w:pStyle w:val="Titre1"/>
        <w:numPr>
          <w:ilvl w:val="0"/>
          <w:numId w:val="22"/>
        </w:numPr>
        <w:ind w:left="360" w:hanging="360"/>
        <w:jc w:val="both"/>
      </w:pPr>
      <w:bookmarkStart w:id="7" w:name="_Toc143845829"/>
      <w:r>
        <w:t>POLITIQUE SST sur les espaces clos</w:t>
      </w:r>
      <w:bookmarkEnd w:id="7"/>
    </w:p>
    <w:p w14:paraId="000000B7" w14:textId="77777777" w:rsidR="006B1DB6" w:rsidRDefault="00844031" w:rsidP="00824DE0">
      <w:pPr>
        <w:jc w:val="both"/>
      </w:pPr>
      <w:r>
        <w:t xml:space="preserve">Par la publication de sa politique SST sur les espaces clos, l’organisation annonce son engagement pour l’implantation/mise à jour du « Programme de prévention spécifique aux espaces clos ». </w:t>
      </w:r>
    </w:p>
    <w:p w14:paraId="000000B8" w14:textId="77777777" w:rsidR="006B1DB6" w:rsidRDefault="00844031" w:rsidP="00824DE0">
      <w:pPr>
        <w:spacing w:before="120"/>
        <w:jc w:val="both"/>
      </w:pPr>
      <w:r>
        <w:t xml:space="preserve">À cet effet, vous pouvez personnaliser l’exemple de la « Politique SST – espaces clos ». </w:t>
      </w:r>
    </w:p>
    <w:p w14:paraId="000000B9" w14:textId="77777777" w:rsidR="006B1DB6" w:rsidRDefault="006B1DB6" w:rsidP="00824DE0">
      <w:pPr>
        <w:jc w:val="both"/>
      </w:pPr>
    </w:p>
    <w:p w14:paraId="000000BA" w14:textId="77777777" w:rsidR="006B1DB6" w:rsidRDefault="00844031" w:rsidP="00F4051F">
      <w:pPr>
        <w:pStyle w:val="Titre1"/>
        <w:numPr>
          <w:ilvl w:val="0"/>
          <w:numId w:val="22"/>
        </w:numPr>
        <w:ind w:left="360" w:hanging="360"/>
        <w:jc w:val="both"/>
      </w:pPr>
      <w:bookmarkStart w:id="8" w:name="_Toc143845830"/>
      <w:r>
        <w:t>INVENTAIRE et analyse</w:t>
      </w:r>
      <w:bookmarkEnd w:id="8"/>
    </w:p>
    <w:p w14:paraId="000000BB" w14:textId="77777777" w:rsidR="006B1DB6" w:rsidRDefault="00844031" w:rsidP="00824DE0">
      <w:pPr>
        <w:jc w:val="both"/>
      </w:pPr>
      <w:bookmarkStart w:id="9" w:name="_heading=h.2s8eyo1" w:colFirst="0" w:colLast="0"/>
      <w:bookmarkEnd w:id="9"/>
      <w:r>
        <w:t>Il est primordial de bien connaître les espaces clos présents dans son organisation ainsi que les tâches qui y sont effectuées. Ainsi, un inventaire des espaces pouvant potentiellement répondre à la définition d’un espace clos devra être effectué. Chacun d’eux devra être analysé pour identifier les différentes situations de travail, ainsi que les tâches qui peuvent s’y effectuer.</w:t>
      </w:r>
    </w:p>
    <w:p w14:paraId="000000BC" w14:textId="77777777" w:rsidR="006B1DB6" w:rsidRDefault="00844031" w:rsidP="00824DE0">
      <w:pPr>
        <w:ind w:left="50"/>
        <w:jc w:val="both"/>
      </w:pPr>
      <w:r>
        <w:t xml:space="preserve">   </w:t>
      </w:r>
    </w:p>
    <w:p w14:paraId="000000BD" w14:textId="372AD160" w:rsidR="006B1DB6" w:rsidRDefault="00844031" w:rsidP="00F4051F">
      <w:pPr>
        <w:pStyle w:val="Titre2"/>
      </w:pPr>
      <w:bookmarkStart w:id="10" w:name="_Toc143845831"/>
      <w:r>
        <w:t>5.1</w:t>
      </w:r>
      <w:r>
        <w:tab/>
        <w:t xml:space="preserve">Désigner les travailleuses et travailleurs compétents </w:t>
      </w:r>
      <w:r w:rsidR="00F4051F">
        <w:br/>
      </w:r>
      <w:r>
        <w:t>qui collaboreront avec la personne qualifiée</w:t>
      </w:r>
      <w:bookmarkEnd w:id="10"/>
    </w:p>
    <w:p w14:paraId="000000BE" w14:textId="64EFA5AF" w:rsidR="006B1DB6" w:rsidRDefault="00844031" w:rsidP="00824DE0">
      <w:pPr>
        <w:jc w:val="both"/>
      </w:pPr>
      <w:r>
        <w:t>Bien que les personnes qualifiées soient censées posséder les connaissances et l’expérience leur permettant d’identifier, d’évaluer et de contrôler les dangers relatifs à un espace clos, elles ne connaissent pas toujours tous les détails spécifiques aux tâches à exécuter à l’intérieur de ceux-ci. Par conséquent, il est indispensable d’identifier les travailleuses et travailleurs compétent</w:t>
      </w:r>
      <w:sdt>
        <w:sdtPr>
          <w:tag w:val="goog_rdk_7"/>
          <w:id w:val="-1141030074"/>
        </w:sdtPr>
        <w:sdtContent/>
      </w:sdt>
      <w:r w:rsidRPr="00AF1F77">
        <w:t>s</w:t>
      </w:r>
      <w:r>
        <w:t xml:space="preserve"> qui collaboreront avec les personnes qualifiées pour identifier les différentes interventions (tâches) qui y sont effectuées, ainsi que les méthodes de travail, les outils, les équipements de sécurité et de travail appropriés, etc.   </w:t>
      </w:r>
    </w:p>
    <w:p w14:paraId="000000BF" w14:textId="77777777" w:rsidR="006B1DB6" w:rsidRDefault="006B1DB6" w:rsidP="00824DE0">
      <w:pPr>
        <w:jc w:val="both"/>
      </w:pPr>
    </w:p>
    <w:p w14:paraId="000000C0" w14:textId="77777777" w:rsidR="006B1DB6" w:rsidRDefault="00844031" w:rsidP="00824DE0">
      <w:pPr>
        <w:pStyle w:val="Titre2"/>
        <w:jc w:val="both"/>
      </w:pPr>
      <w:bookmarkStart w:id="11" w:name="_Toc143845832"/>
      <w:r>
        <w:t>5.2</w:t>
      </w:r>
      <w:r>
        <w:tab/>
        <w:t>Élaborer ou mettre à jour la liste des espaces clos</w:t>
      </w:r>
      <w:bookmarkEnd w:id="11"/>
    </w:p>
    <w:p w14:paraId="000000C1" w14:textId="77777777" w:rsidR="006B1DB6" w:rsidRDefault="00844031" w:rsidP="00824DE0">
      <w:pPr>
        <w:jc w:val="both"/>
      </w:pPr>
      <w:r>
        <w:t>Effectuer l’inventaire de tous les endroits qui pourraient potentiellement répondre à la définition d’un espace clos, et ce, tel que défini à l’article 1 du RSST. Il est important de ne pas considérer uniquement une situation de travail précise, mais plutôt de considérer toutes les tâches qui peuvent y être exécutées. Ainsi, certaines tâches peuvent se réaliser :</w:t>
      </w:r>
    </w:p>
    <w:p w14:paraId="000000C2" w14:textId="77777777" w:rsidR="006B1DB6" w:rsidRDefault="00844031" w:rsidP="00824DE0">
      <w:pPr>
        <w:numPr>
          <w:ilvl w:val="0"/>
          <w:numId w:val="24"/>
        </w:numPr>
        <w:pBdr>
          <w:top w:val="nil"/>
          <w:left w:val="nil"/>
          <w:bottom w:val="nil"/>
          <w:right w:val="nil"/>
          <w:between w:val="nil"/>
        </w:pBdr>
        <w:spacing w:line="259" w:lineRule="auto"/>
        <w:jc w:val="both"/>
      </w:pPr>
      <w:r>
        <w:rPr>
          <w:color w:val="000000"/>
        </w:rPr>
        <w:t>SANS ENTRER : tâches effectuées à partir de l’extérieur de l’espace clos;</w:t>
      </w:r>
    </w:p>
    <w:p w14:paraId="000000C3" w14:textId="77777777" w:rsidR="006B1DB6" w:rsidRDefault="00844031" w:rsidP="00824DE0">
      <w:pPr>
        <w:numPr>
          <w:ilvl w:val="0"/>
          <w:numId w:val="24"/>
        </w:numPr>
        <w:pBdr>
          <w:top w:val="nil"/>
          <w:left w:val="nil"/>
          <w:bottom w:val="nil"/>
          <w:right w:val="nil"/>
          <w:between w:val="nil"/>
        </w:pBdr>
        <w:spacing w:line="259" w:lineRule="auto"/>
        <w:jc w:val="both"/>
      </w:pPr>
      <w:r>
        <w:rPr>
          <w:color w:val="000000"/>
        </w:rPr>
        <w:t>EN ESPACE CLOS : tâches pour lesquelles des procédures d’entrée, de travail et de sauvetage en espace clos s’appliquent;</w:t>
      </w:r>
    </w:p>
    <w:p w14:paraId="000000C4" w14:textId="77777777" w:rsidR="006B1DB6" w:rsidRDefault="00844031" w:rsidP="00824DE0">
      <w:pPr>
        <w:numPr>
          <w:ilvl w:val="0"/>
          <w:numId w:val="24"/>
        </w:numPr>
        <w:pBdr>
          <w:top w:val="nil"/>
          <w:left w:val="nil"/>
          <w:bottom w:val="nil"/>
          <w:right w:val="nil"/>
          <w:between w:val="nil"/>
        </w:pBdr>
        <w:spacing w:after="120" w:line="259" w:lineRule="auto"/>
        <w:jc w:val="both"/>
      </w:pPr>
      <w:r>
        <w:rPr>
          <w:color w:val="000000"/>
        </w:rPr>
        <w:t>EN ESPACE AVEC ACCÈS RESTREINT : tâches effectuées dans un espace avec un accès restreint ou une configuration interne restreinte qui complique l’évacuation, la prestation des premiers secours, le sauvetage ou les autres interventions d’urgence.</w:t>
      </w:r>
    </w:p>
    <w:p w14:paraId="000000C5" w14:textId="77777777" w:rsidR="006B1DB6" w:rsidRDefault="00844031" w:rsidP="00824DE0">
      <w:pPr>
        <w:spacing w:before="60" w:after="60"/>
        <w:jc w:val="both"/>
      </w:pPr>
      <w:r>
        <w:lastRenderedPageBreak/>
        <w:t>Certaines procédures sécuritaires complémentaires peuvent s’appliquer (arrêt et remise en service sécuritaire, travail à chaud, cadenassage, etc.).</w:t>
      </w:r>
    </w:p>
    <w:p w14:paraId="000000C6" w14:textId="77777777" w:rsidR="006B1DB6" w:rsidRDefault="00844031" w:rsidP="00824DE0">
      <w:pPr>
        <w:jc w:val="both"/>
      </w:pPr>
      <w:r>
        <w:t xml:space="preserve">En effet, pour un même espace, il est possible que certaines tâches génèrent l’un des risques ciblés par la définition d’un espace clos au RSST, tandis que d’autres tâches n’en génèrent pas. Ces dernières peuvent maintenant être considérées comme étant effectuées dans un </w:t>
      </w:r>
      <w:r>
        <w:rPr>
          <w:u w:val="single"/>
        </w:rPr>
        <w:t>espace avec accès restreint</w:t>
      </w:r>
      <w:r>
        <w:t xml:space="preserve">. </w:t>
      </w:r>
    </w:p>
    <w:p w14:paraId="000000C7" w14:textId="77777777" w:rsidR="006B1DB6" w:rsidRDefault="00844031" w:rsidP="00824DE0">
      <w:pPr>
        <w:spacing w:before="120"/>
        <w:jc w:val="both"/>
      </w:pPr>
      <w:r>
        <w:t xml:space="preserve">Néanmoins, il peut s’avérer plus simple de gérer toutes les tâches comme étant un travail en espace clos, plutôt que d’avoir à gérer des procédures différentes pour deux types d’interventions. </w:t>
      </w:r>
    </w:p>
    <w:p w14:paraId="000000C8" w14:textId="366881FA" w:rsidR="006B1DB6" w:rsidRDefault="00844031" w:rsidP="00824DE0">
      <w:pPr>
        <w:spacing w:before="120"/>
        <w:jc w:val="both"/>
        <w:rPr>
          <w:b/>
        </w:rPr>
      </w:pPr>
      <w:r>
        <w:rPr>
          <w:b/>
        </w:rPr>
        <w:t>Dans tous les cas, toutes les tâches dans ces espaces devront faire l’objet d’une analyse</w:t>
      </w:r>
      <w:r w:rsidR="00824DE0">
        <w:rPr>
          <w:b/>
        </w:rPr>
        <w:t xml:space="preserve"> </w:t>
      </w:r>
      <w:r>
        <w:rPr>
          <w:b/>
        </w:rPr>
        <w:t>par une personne qualifiée lors de la cueillette de renseignements.</w:t>
      </w:r>
    </w:p>
    <w:p w14:paraId="000000C9" w14:textId="77777777" w:rsidR="006B1DB6" w:rsidRDefault="00844031" w:rsidP="00824DE0">
      <w:pPr>
        <w:spacing w:before="120"/>
        <w:jc w:val="both"/>
        <w:rPr>
          <w:b/>
        </w:rPr>
      </w:pPr>
      <w:r>
        <w:t xml:space="preserve">Pour vous aider à vous y retrouver, consultez les fiches « Qu’est-ce qu’un espace clos » et « Identification des espaces clos ou avec accès restreint ». </w:t>
      </w:r>
    </w:p>
    <w:p w14:paraId="000000CA" w14:textId="77777777" w:rsidR="006B1DB6" w:rsidRDefault="006B1DB6" w:rsidP="00824DE0">
      <w:pPr>
        <w:jc w:val="both"/>
        <w:rPr>
          <w:b/>
        </w:rPr>
      </w:pPr>
    </w:p>
    <w:p w14:paraId="000000CB" w14:textId="77777777" w:rsidR="006B1DB6" w:rsidRDefault="00844031" w:rsidP="00824DE0">
      <w:pPr>
        <w:pStyle w:val="Titre2"/>
        <w:jc w:val="both"/>
      </w:pPr>
      <w:bookmarkStart w:id="12" w:name="_Toc143845833"/>
      <w:r>
        <w:t>5.3</w:t>
      </w:r>
      <w:r>
        <w:tab/>
        <w:t>Effectuer la cueillette des renseignements</w:t>
      </w:r>
      <w:bookmarkEnd w:id="12"/>
    </w:p>
    <w:p w14:paraId="000000CC" w14:textId="77777777" w:rsidR="006B1DB6" w:rsidRDefault="00844031" w:rsidP="00824DE0">
      <w:pPr>
        <w:spacing w:before="60"/>
        <w:jc w:val="both"/>
      </w:pPr>
      <w:r>
        <w:t>Comme précisé à l’article 300 du RSST, la personne qualifiée procède à la cueillette des renseignements pour chaque espace identifié précédemment.</w:t>
      </w:r>
    </w:p>
    <w:p w14:paraId="000000CD" w14:textId="77777777" w:rsidR="006B1DB6" w:rsidRDefault="00844031" w:rsidP="00824DE0">
      <w:pPr>
        <w:spacing w:before="60"/>
        <w:jc w:val="both"/>
      </w:pPr>
      <w:r>
        <w:t>Nous recommandons de commencer par analyser les espaces clos dans lesquels les travailleuses et les travailleurs interviennent le plus souvent et qui sont les plus dangereux. À noter que l’ordre des priorités peut changer, selon la planification des travaux à venir.</w:t>
      </w:r>
    </w:p>
    <w:p w14:paraId="000000CE" w14:textId="77777777" w:rsidR="006B1DB6" w:rsidRDefault="00844031" w:rsidP="00824DE0">
      <w:pPr>
        <w:spacing w:before="60"/>
        <w:jc w:val="both"/>
      </w:pPr>
      <w:r>
        <w:t xml:space="preserve">Toutes les tâches doivent faire l’objet d’une identification des dangers et d’une estimation des risques par une personne qualifiée, en collaboration avec des travailleuses et travailleurs compétents, comme mentionné au point 5.1. </w:t>
      </w:r>
      <w:r w:rsidRPr="008E15F4">
        <w:t xml:space="preserve">Nous recommandons de valider l’analyse sécuritaire des tâches (AST) en effectuant une analyse de risques (ADR) à l’aide de l’outil </w:t>
      </w:r>
      <w:sdt>
        <w:sdtPr>
          <w:tag w:val="goog_rdk_8"/>
          <w:id w:val="-1064790709"/>
        </w:sdtPr>
        <w:sdtContent/>
      </w:sdt>
      <w:hyperlink r:id="rId15">
        <w:r w:rsidRPr="008E15F4">
          <w:rPr>
            <w:color w:val="0563C1"/>
            <w:u w:val="single"/>
          </w:rPr>
          <w:t>E.CLOS : un outil pour la gestion des risques en espaces clos (IRSST)</w:t>
        </w:r>
      </w:hyperlink>
      <w:r w:rsidRPr="008E15F4">
        <w:rPr>
          <w:color w:val="0563C1"/>
          <w:u w:val="single"/>
        </w:rPr>
        <w:t>.</w:t>
      </w:r>
    </w:p>
    <w:p w14:paraId="000000CF" w14:textId="77777777" w:rsidR="006B1DB6" w:rsidRDefault="00844031" w:rsidP="00824DE0">
      <w:pPr>
        <w:spacing w:before="60"/>
        <w:jc w:val="both"/>
      </w:pPr>
      <w:r>
        <w:t>Ces informations sont consignées sur une « Fiche de renseignements ». Celle-ci permet de résumer toutes les informations importantes et pertinentes à connaître sur l’espace clos ou avec accès restreint ainsi que sur les interventions qui y sont effectuées. D’autres documents complémentaires, comme les procédures d’entrée avec fiche de contrôle/permis d’entrée, les procédures de travail ainsi que les procédures d'urgence et de sauvetage, comme prévu au plan de sauvetage de l’organisation, complètent le tout.</w:t>
      </w:r>
    </w:p>
    <w:p w14:paraId="000000D0" w14:textId="77777777" w:rsidR="006B1DB6" w:rsidRDefault="006B1DB6" w:rsidP="00824DE0">
      <w:pPr>
        <w:jc w:val="both"/>
      </w:pPr>
    </w:p>
    <w:p w14:paraId="000000D1" w14:textId="77777777" w:rsidR="006B1DB6" w:rsidRDefault="00844031" w:rsidP="00824DE0">
      <w:pPr>
        <w:pStyle w:val="Titre2"/>
        <w:jc w:val="both"/>
      </w:pPr>
      <w:bookmarkStart w:id="13" w:name="_Toc143845834"/>
      <w:r>
        <w:t>5.4</w:t>
      </w:r>
      <w:r>
        <w:tab/>
        <w:t>Mettre à jour l’inventaire des espaces clos</w:t>
      </w:r>
      <w:bookmarkEnd w:id="13"/>
    </w:p>
    <w:p w14:paraId="000000D2" w14:textId="77777777" w:rsidR="006B1DB6" w:rsidRDefault="00844031" w:rsidP="00824DE0">
      <w:pPr>
        <w:jc w:val="both"/>
      </w:pPr>
      <w:r>
        <w:t>Les informations obtenues lors de la cueillette des renseignements permettent de distinguer deux types de situations :</w:t>
      </w:r>
    </w:p>
    <w:p w14:paraId="000000D3" w14:textId="77777777" w:rsidR="006B1DB6" w:rsidRDefault="00844031" w:rsidP="00824DE0">
      <w:pPr>
        <w:numPr>
          <w:ilvl w:val="0"/>
          <w:numId w:val="27"/>
        </w:numPr>
        <w:pBdr>
          <w:top w:val="nil"/>
          <w:left w:val="nil"/>
          <w:bottom w:val="nil"/>
          <w:right w:val="nil"/>
          <w:between w:val="nil"/>
        </w:pBdr>
        <w:spacing w:before="120"/>
        <w:ind w:left="763"/>
        <w:jc w:val="both"/>
        <w:rPr>
          <w:color w:val="000000"/>
        </w:rPr>
      </w:pPr>
      <w:proofErr w:type="gramStart"/>
      <w:r>
        <w:rPr>
          <w:color w:val="000000"/>
        </w:rPr>
        <w:t>les</w:t>
      </w:r>
      <w:proofErr w:type="gramEnd"/>
      <w:r>
        <w:rPr>
          <w:color w:val="000000"/>
        </w:rPr>
        <w:t xml:space="preserve"> interventions en espaces clos qui génèrent l’un des risques </w:t>
      </w:r>
      <w:r>
        <w:t xml:space="preserve">ciblés par </w:t>
      </w:r>
      <w:r>
        <w:rPr>
          <w:color w:val="000000"/>
        </w:rPr>
        <w:t>la définition de l’article 1 du RSST et pour lesquelles la « Section XXVI – Travail en espaces clos » s’applique</w:t>
      </w:r>
      <w:r>
        <w:t>;</w:t>
      </w:r>
      <w:r>
        <w:rPr>
          <w:color w:val="000000"/>
        </w:rPr>
        <w:t xml:space="preserve"> </w:t>
      </w:r>
    </w:p>
    <w:p w14:paraId="000000D4" w14:textId="77777777" w:rsidR="006B1DB6" w:rsidRDefault="00844031" w:rsidP="00824DE0">
      <w:pPr>
        <w:numPr>
          <w:ilvl w:val="0"/>
          <w:numId w:val="27"/>
        </w:numPr>
        <w:pBdr>
          <w:top w:val="nil"/>
          <w:left w:val="nil"/>
          <w:bottom w:val="nil"/>
          <w:right w:val="nil"/>
          <w:between w:val="nil"/>
        </w:pBdr>
        <w:spacing w:before="120"/>
        <w:ind w:left="763"/>
        <w:jc w:val="both"/>
        <w:rPr>
          <w:color w:val="000000"/>
        </w:rPr>
      </w:pPr>
      <w:proofErr w:type="gramStart"/>
      <w:r>
        <w:t>l</w:t>
      </w:r>
      <w:r>
        <w:rPr>
          <w:color w:val="000000"/>
        </w:rPr>
        <w:t>es</w:t>
      </w:r>
      <w:proofErr w:type="gramEnd"/>
      <w:r>
        <w:rPr>
          <w:color w:val="000000"/>
        </w:rPr>
        <w:t xml:space="preserve"> interventions en espace avec accès restreint qui ne répondent pas à la définition d’un espace clos et qui sont soumises à d’autres sections du RSST.</w:t>
      </w:r>
    </w:p>
    <w:p w14:paraId="000000D5" w14:textId="77777777" w:rsidR="006B1DB6" w:rsidRDefault="00844031" w:rsidP="00824DE0">
      <w:pPr>
        <w:spacing w:before="120"/>
        <w:jc w:val="both"/>
      </w:pPr>
      <w:r>
        <w:t>Nous recommandons de répertorier l’inventaire de tous ces espaces dans un registre.</w:t>
      </w:r>
    </w:p>
    <w:p w14:paraId="000000D6" w14:textId="77777777" w:rsidR="006B1DB6" w:rsidRDefault="006B1DB6" w:rsidP="00824DE0">
      <w:pPr>
        <w:jc w:val="both"/>
      </w:pPr>
    </w:p>
    <w:p w14:paraId="4D59BCC8" w14:textId="77777777" w:rsidR="00F4051F" w:rsidRDefault="00F4051F">
      <w:pPr>
        <w:rPr>
          <w:rFonts w:eastAsiaTheme="majorEastAsia" w:cstheme="majorBidi"/>
          <w:b/>
          <w:caps/>
          <w:color w:val="5A5E5F"/>
          <w:sz w:val="26"/>
          <w:szCs w:val="26"/>
        </w:rPr>
      </w:pPr>
      <w:r>
        <w:br w:type="page"/>
      </w:r>
    </w:p>
    <w:p w14:paraId="000000D7" w14:textId="0B802009" w:rsidR="006B1DB6" w:rsidRDefault="00844031" w:rsidP="00824DE0">
      <w:pPr>
        <w:pStyle w:val="Titre2"/>
        <w:jc w:val="both"/>
      </w:pPr>
      <w:bookmarkStart w:id="14" w:name="_Toc143845835"/>
      <w:r>
        <w:lastRenderedPageBreak/>
        <w:t>5.5</w:t>
      </w:r>
      <w:r>
        <w:tab/>
      </w:r>
      <w:r w:rsidRPr="008E15F4">
        <w:t>Apposer une affiche d’identification</w:t>
      </w:r>
      <w:bookmarkEnd w:id="14"/>
    </w:p>
    <w:p w14:paraId="000000D8" w14:textId="77777777" w:rsidR="006B1DB6" w:rsidRDefault="00844031" w:rsidP="00824DE0">
      <w:pPr>
        <w:spacing w:before="120"/>
        <w:jc w:val="both"/>
      </w:pPr>
      <w:r>
        <w:t xml:space="preserve">Pour certains lieux de travail, il est recommandé, lorsque possible, d’identifier l’espace clos ou avec accès restreint à l’aide d’une affiche pour aviser les travailleuses et les travailleurs qu’il s’agit d’un endroit interdit aux personnes non autorisées. </w:t>
      </w:r>
    </w:p>
    <w:p w14:paraId="000000D9" w14:textId="7CB41C68" w:rsidR="006B1DB6" w:rsidRDefault="00844031" w:rsidP="00824DE0">
      <w:pPr>
        <w:spacing w:before="120" w:after="120"/>
        <w:jc w:val="both"/>
      </w:pPr>
      <w:r>
        <w:rPr>
          <w:i/>
        </w:rPr>
        <w:t>« Seuls les travailleurs ayant les connaissances, la formation ou l’expérience requises pour effectuer un travail dans un espace clos sont habilités à y effectuer un travail </w:t>
      </w:r>
      <w:r w:rsidRPr="002B36F3">
        <w:rPr>
          <w:i/>
        </w:rPr>
        <w:t xml:space="preserve">» </w:t>
      </w:r>
      <w:r w:rsidRPr="002B36F3">
        <w:t>(art. 298 du RSST).</w:t>
      </w:r>
    </w:p>
    <w:p w14:paraId="000000DA" w14:textId="106CC0BD" w:rsidR="006B1DB6" w:rsidRDefault="00F4051F" w:rsidP="00824DE0">
      <w:pPr>
        <w:spacing w:before="120"/>
        <w:jc w:val="both"/>
      </w:pPr>
      <w:r w:rsidRPr="00F80E92">
        <w:rPr>
          <w:noProof/>
        </w:rPr>
        <w:drawing>
          <wp:anchor distT="0" distB="0" distL="114300" distR="114300" simplePos="0" relativeHeight="251666432" behindDoc="0" locked="0" layoutInCell="1" allowOverlap="1" wp14:anchorId="0241393D" wp14:editId="148D3B9D">
            <wp:simplePos x="0" y="0"/>
            <wp:positionH relativeFrom="margin">
              <wp:posOffset>3663315</wp:posOffset>
            </wp:positionH>
            <wp:positionV relativeFrom="margin">
              <wp:posOffset>1384935</wp:posOffset>
            </wp:positionV>
            <wp:extent cx="2693035" cy="3492500"/>
            <wp:effectExtent l="0" t="0" r="0" b="0"/>
            <wp:wrapSquare wrapText="bothSides"/>
            <wp:docPr id="146770846" name="Image 1" descr="Une image contenant texte, Police, logo,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0846" name="Image 1" descr="Une image contenant texte, Police, logo, conception&#10;&#10;Description générée automatiquement"/>
                    <pic:cNvPicPr/>
                  </pic:nvPicPr>
                  <pic:blipFill rotWithShape="1">
                    <a:blip r:embed="rId16" cstate="print">
                      <a:extLst>
                        <a:ext uri="{28A0092B-C50C-407E-A947-70E740481C1C}">
                          <a14:useLocalDpi xmlns:a14="http://schemas.microsoft.com/office/drawing/2010/main" val="0"/>
                        </a:ext>
                      </a:extLst>
                    </a:blip>
                    <a:srcRect t="382" b="1156"/>
                    <a:stretch/>
                  </pic:blipFill>
                  <pic:spPr bwMode="auto">
                    <a:xfrm>
                      <a:off x="0" y="0"/>
                      <a:ext cx="2693035" cy="349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4031">
        <w:t>Cette recommandation s’applique aux endroits où :</w:t>
      </w:r>
    </w:p>
    <w:p w14:paraId="000000DB" w14:textId="2A3F1975" w:rsidR="006B1DB6" w:rsidRDefault="00844031" w:rsidP="00824DE0">
      <w:pPr>
        <w:numPr>
          <w:ilvl w:val="0"/>
          <w:numId w:val="16"/>
        </w:numPr>
        <w:pBdr>
          <w:top w:val="nil"/>
          <w:left w:val="nil"/>
          <w:bottom w:val="nil"/>
          <w:right w:val="nil"/>
          <w:between w:val="nil"/>
        </w:pBdr>
        <w:spacing w:before="120"/>
        <w:jc w:val="both"/>
        <w:rPr>
          <w:color w:val="000000"/>
        </w:rPr>
      </w:pPr>
      <w:proofErr w:type="gramStart"/>
      <w:r>
        <w:rPr>
          <w:color w:val="000000"/>
        </w:rPr>
        <w:t>la</w:t>
      </w:r>
      <w:proofErr w:type="gramEnd"/>
      <w:r>
        <w:rPr>
          <w:color w:val="000000"/>
        </w:rPr>
        <w:t xml:space="preserve"> trappe d’accès n’est pas verrouillée;</w:t>
      </w:r>
    </w:p>
    <w:p w14:paraId="000000DD" w14:textId="60CF6BF0" w:rsidR="006B1DB6" w:rsidRDefault="00844031" w:rsidP="00F4051F">
      <w:pPr>
        <w:pBdr>
          <w:top w:val="nil"/>
          <w:left w:val="nil"/>
          <w:bottom w:val="nil"/>
          <w:right w:val="nil"/>
          <w:between w:val="nil"/>
        </w:pBdr>
        <w:ind w:left="720"/>
        <w:rPr>
          <w:color w:val="000000"/>
        </w:rPr>
      </w:pPr>
      <w:proofErr w:type="gramStart"/>
      <w:r>
        <w:rPr>
          <w:color w:val="000000"/>
        </w:rPr>
        <w:t>il</w:t>
      </w:r>
      <w:proofErr w:type="gramEnd"/>
      <w:r>
        <w:rPr>
          <w:color w:val="000000"/>
        </w:rPr>
        <w:t xml:space="preserve"> y a plusieurs accès à proximité, </w:t>
      </w:r>
      <w:r>
        <w:t>c</w:t>
      </w:r>
      <w:r>
        <w:rPr>
          <w:color w:val="000000"/>
        </w:rPr>
        <w:t>ar une bonne identification permet à la travailleuse ou au travailleur d’intervenir au bon endroit.</w:t>
      </w:r>
    </w:p>
    <w:p w14:paraId="1028775C" w14:textId="77777777" w:rsidR="00F4051F" w:rsidRDefault="00F4051F" w:rsidP="00824DE0">
      <w:pPr>
        <w:pBdr>
          <w:top w:val="nil"/>
          <w:left w:val="nil"/>
          <w:bottom w:val="nil"/>
          <w:right w:val="nil"/>
          <w:between w:val="nil"/>
        </w:pBdr>
        <w:ind w:left="720"/>
        <w:jc w:val="both"/>
        <w:rPr>
          <w:color w:val="000000"/>
        </w:rPr>
      </w:pPr>
    </w:p>
    <w:p w14:paraId="000000DF" w14:textId="3BF8CC0D" w:rsidR="006B1DB6" w:rsidRDefault="00844031" w:rsidP="00F4051F">
      <w:pPr>
        <w:jc w:val="both"/>
      </w:pPr>
      <w:r>
        <w:t>Exemple d’affiche adaptable et disponible sur le site Web de votre ASP :</w:t>
      </w:r>
    </w:p>
    <w:p w14:paraId="000000E0" w14:textId="6FF95B76" w:rsidR="006B1DB6" w:rsidRPr="0076484B" w:rsidRDefault="00844031" w:rsidP="00824DE0">
      <w:pPr>
        <w:spacing w:before="120"/>
        <w:jc w:val="both"/>
        <w:rPr>
          <w:b/>
        </w:rPr>
      </w:pPr>
      <w:r w:rsidRPr="0076484B">
        <w:rPr>
          <w:b/>
        </w:rPr>
        <w:t>Cette affiche :</w:t>
      </w:r>
    </w:p>
    <w:p w14:paraId="000000E1" w14:textId="605F7134" w:rsidR="006B1DB6" w:rsidRPr="0076484B" w:rsidRDefault="00844031" w:rsidP="00824DE0">
      <w:pPr>
        <w:numPr>
          <w:ilvl w:val="0"/>
          <w:numId w:val="17"/>
        </w:numPr>
        <w:pBdr>
          <w:top w:val="nil"/>
          <w:left w:val="nil"/>
          <w:bottom w:val="nil"/>
          <w:right w:val="nil"/>
          <w:between w:val="nil"/>
        </w:pBdr>
        <w:spacing w:before="120"/>
        <w:jc w:val="both"/>
        <w:rPr>
          <w:color w:val="000000"/>
        </w:rPr>
      </w:pPr>
      <w:proofErr w:type="gramStart"/>
      <w:r w:rsidRPr="0076484B">
        <w:rPr>
          <w:color w:val="000000"/>
        </w:rPr>
        <w:t>doit</w:t>
      </w:r>
      <w:proofErr w:type="gramEnd"/>
      <w:r w:rsidRPr="0076484B">
        <w:rPr>
          <w:color w:val="000000"/>
        </w:rPr>
        <w:t xml:space="preserve"> être apposée près de l’accès sur la paroi de l’espace clos ou sur un mur à proximité de celui-ci;</w:t>
      </w:r>
    </w:p>
    <w:p w14:paraId="000000E2" w14:textId="77777777" w:rsidR="006B1DB6" w:rsidRPr="0076484B" w:rsidRDefault="00844031" w:rsidP="00824DE0">
      <w:pPr>
        <w:numPr>
          <w:ilvl w:val="0"/>
          <w:numId w:val="17"/>
        </w:numPr>
        <w:pBdr>
          <w:top w:val="nil"/>
          <w:left w:val="nil"/>
          <w:bottom w:val="nil"/>
          <w:right w:val="nil"/>
          <w:between w:val="nil"/>
        </w:pBdr>
        <w:spacing w:before="120"/>
        <w:jc w:val="both"/>
        <w:rPr>
          <w:color w:val="000000"/>
        </w:rPr>
      </w:pPr>
      <w:proofErr w:type="gramStart"/>
      <w:r w:rsidRPr="0076484B">
        <w:rPr>
          <w:color w:val="000000"/>
        </w:rPr>
        <w:t>ne</w:t>
      </w:r>
      <w:proofErr w:type="gramEnd"/>
      <w:r w:rsidRPr="0076484B">
        <w:rPr>
          <w:color w:val="000000"/>
        </w:rPr>
        <w:t xml:space="preserve"> doit pas nuire à la voie de passage; </w:t>
      </w:r>
    </w:p>
    <w:p w14:paraId="000000E3" w14:textId="77777777" w:rsidR="006B1DB6" w:rsidRPr="0076484B" w:rsidRDefault="00844031" w:rsidP="00824DE0">
      <w:pPr>
        <w:numPr>
          <w:ilvl w:val="0"/>
          <w:numId w:val="17"/>
        </w:numPr>
        <w:pBdr>
          <w:top w:val="nil"/>
          <w:left w:val="nil"/>
          <w:bottom w:val="nil"/>
          <w:right w:val="nil"/>
          <w:between w:val="nil"/>
        </w:pBdr>
        <w:spacing w:before="120"/>
        <w:jc w:val="both"/>
        <w:rPr>
          <w:color w:val="000000"/>
        </w:rPr>
      </w:pPr>
      <w:proofErr w:type="gramStart"/>
      <w:r w:rsidRPr="0076484B">
        <w:rPr>
          <w:color w:val="000000"/>
        </w:rPr>
        <w:t>doit</w:t>
      </w:r>
      <w:proofErr w:type="gramEnd"/>
      <w:r w:rsidRPr="0076484B">
        <w:rPr>
          <w:color w:val="000000"/>
        </w:rPr>
        <w:t xml:space="preserve"> demeurer en bon état et être lisible.</w:t>
      </w:r>
      <w:r w:rsidRPr="0076484B">
        <w:rPr>
          <w:color w:val="212529"/>
        </w:rPr>
        <w:t xml:space="preserve"> </w:t>
      </w:r>
    </w:p>
    <w:p w14:paraId="000000E4" w14:textId="77777777" w:rsidR="006B1DB6" w:rsidRDefault="00844031" w:rsidP="00824DE0">
      <w:pPr>
        <w:pBdr>
          <w:top w:val="nil"/>
          <w:left w:val="nil"/>
          <w:bottom w:val="nil"/>
          <w:right w:val="nil"/>
          <w:between w:val="nil"/>
        </w:pBdr>
        <w:spacing w:before="120"/>
        <w:jc w:val="both"/>
        <w:rPr>
          <w:color w:val="000000"/>
        </w:rPr>
      </w:pPr>
      <w:r w:rsidRPr="0076484B">
        <w:t>Prendre note que si l'ouverture d'un couvercle nécessite un outil spécial en raison de son poids (par exemple, un couvercle d'égout), le verrouillage n'est pas requis, mais</w:t>
      </w:r>
      <w:r w:rsidRPr="0076484B">
        <w:rPr>
          <w:color w:val="000000"/>
        </w:rPr>
        <w:t xml:space="preserve"> les travailleuses et les travailleurs doivent pouvoir se référer à un plan pour pouvoir localiser le bon espace clos, là où cela est requis.</w:t>
      </w:r>
    </w:p>
    <w:p w14:paraId="000000E5" w14:textId="77777777" w:rsidR="006B1DB6" w:rsidRDefault="006B1DB6" w:rsidP="00824DE0">
      <w:pPr>
        <w:jc w:val="both"/>
      </w:pPr>
    </w:p>
    <w:p w14:paraId="000000E6" w14:textId="77777777" w:rsidR="006B1DB6" w:rsidRDefault="00844031" w:rsidP="00F4051F">
      <w:pPr>
        <w:pStyle w:val="Titre1"/>
        <w:numPr>
          <w:ilvl w:val="0"/>
          <w:numId w:val="22"/>
        </w:numPr>
        <w:ind w:left="360" w:hanging="360"/>
        <w:jc w:val="both"/>
      </w:pPr>
      <w:bookmarkStart w:id="15" w:name="_Toc143845836"/>
      <w:r>
        <w:t>Aménagement/CONCEPTION</w:t>
      </w:r>
      <w:bookmarkEnd w:id="15"/>
      <w:r>
        <w:t xml:space="preserve"> </w:t>
      </w:r>
    </w:p>
    <w:p w14:paraId="000000E7" w14:textId="77777777" w:rsidR="006B1DB6" w:rsidRDefault="00844031" w:rsidP="00824DE0">
      <w:pPr>
        <w:jc w:val="both"/>
      </w:pPr>
      <w:r>
        <w:t xml:space="preserve">La </w:t>
      </w:r>
      <w:hyperlink r:id="rId17">
        <w:r>
          <w:t>Loi sur la santé et la sécurité du travail</w:t>
        </w:r>
      </w:hyperlink>
      <w:r>
        <w:t xml:space="preserve"> (LSST) a pour objectif l’élimination à la source même des dangers (LSST, art. 2). Dans cette optique, la meilleure façon d’éviter de s’exposer aux risques inhérents aux espaces clos est de ne pas en créer en premier lieu, et également d'éviter de pénétrer dans </w:t>
      </w:r>
      <w:r w:rsidRPr="0076484B">
        <w:t>ceux-ci lorsque</w:t>
      </w:r>
      <w:r>
        <w:t xml:space="preserve"> cela n'est pas nécessaire.</w:t>
      </w:r>
    </w:p>
    <w:p w14:paraId="000000E8" w14:textId="77777777" w:rsidR="006B1DB6" w:rsidRDefault="00844031" w:rsidP="00824DE0">
      <w:pPr>
        <w:spacing w:before="120"/>
        <w:jc w:val="both"/>
      </w:pPr>
      <w:r>
        <w:t xml:space="preserve">Dans tous les cas, l’aménagement/conception d’un espace clos </w:t>
      </w:r>
      <w:proofErr w:type="gramStart"/>
      <w:r>
        <w:t>a</w:t>
      </w:r>
      <w:proofErr w:type="gramEnd"/>
      <w:r>
        <w:t xml:space="preserve"> des conséquences directes sur l’organisation du travail et les risques auxquels les travailleuses et les travailleurs peuvent être exposés. Par exemple, la présence d’un équipement de protection collectif comme un garde-corps permet d’effectuer une tâche à partir de l’extérieur de l’espace clos, tout en protégeant la travailleuse et le travailleur d’une chute dans celui-ci. </w:t>
      </w:r>
    </w:p>
    <w:p w14:paraId="000000E9" w14:textId="77777777" w:rsidR="006B1DB6" w:rsidRDefault="00844031" w:rsidP="00824DE0">
      <w:pPr>
        <w:spacing w:before="120"/>
        <w:jc w:val="both"/>
      </w:pPr>
      <w:r>
        <w:t xml:space="preserve">La configuration des lieux et la disposition des moyens d’accès peuvent également rendre difficile la ventilation et entraver l’évacuation de la travailleuse et du travailleur en cas d’urgence. </w:t>
      </w:r>
      <w:r>
        <w:rPr>
          <w:b/>
        </w:rPr>
        <w:t xml:space="preserve">Il est donc important de mettre en place un processus d’évaluation et de suivi de leur aménagement/conception sécuritaire. </w:t>
      </w:r>
      <w:r>
        <w:t>Prendre note que les modifications apportées à la structure doivent être approuvées par un(e) ingénieur(e).</w:t>
      </w:r>
    </w:p>
    <w:p w14:paraId="000000EA" w14:textId="77777777" w:rsidR="006B1DB6" w:rsidRDefault="006B1DB6" w:rsidP="00824DE0">
      <w:pPr>
        <w:spacing w:before="120"/>
        <w:jc w:val="both"/>
      </w:pPr>
    </w:p>
    <w:p w14:paraId="704D2318" w14:textId="77777777" w:rsidR="00824DE0" w:rsidRDefault="00824DE0">
      <w:pPr>
        <w:rPr>
          <w:rFonts w:eastAsiaTheme="majorEastAsia" w:cstheme="majorBidi"/>
          <w:b/>
          <w:caps/>
          <w:color w:val="5A5E5F"/>
          <w:sz w:val="26"/>
          <w:szCs w:val="26"/>
        </w:rPr>
      </w:pPr>
      <w:r>
        <w:br w:type="page"/>
      </w:r>
    </w:p>
    <w:p w14:paraId="000000EB" w14:textId="6871C987" w:rsidR="006B1DB6" w:rsidRDefault="00844031" w:rsidP="00824DE0">
      <w:pPr>
        <w:pStyle w:val="Titre2"/>
        <w:jc w:val="both"/>
      </w:pPr>
      <w:bookmarkStart w:id="16" w:name="_Toc143845837"/>
      <w:r>
        <w:lastRenderedPageBreak/>
        <w:t>6.1</w:t>
      </w:r>
      <w:r>
        <w:tab/>
        <w:t>Évaluer l’aménagement/conception</w:t>
      </w:r>
      <w:bookmarkEnd w:id="16"/>
      <w:r>
        <w:t xml:space="preserve"> </w:t>
      </w:r>
    </w:p>
    <w:p w14:paraId="000000EC" w14:textId="77777777" w:rsidR="006B1DB6" w:rsidRDefault="00844031" w:rsidP="00824DE0">
      <w:pPr>
        <w:spacing w:before="60" w:after="60"/>
        <w:jc w:val="both"/>
      </w:pPr>
      <w:r>
        <w:t>L’article 297.1 du RSST prévoit des dispositions à cet effet :</w:t>
      </w:r>
    </w:p>
    <w:p w14:paraId="000000ED" w14:textId="77777777" w:rsidR="006B1DB6" w:rsidRDefault="00844031" w:rsidP="00824DE0">
      <w:pPr>
        <w:spacing w:before="60" w:after="60"/>
        <w:ind w:left="340"/>
        <w:jc w:val="both"/>
        <w:rPr>
          <w:i/>
        </w:rPr>
      </w:pPr>
      <w:r>
        <w:rPr>
          <w:i/>
        </w:rPr>
        <w:t xml:space="preserve">« </w:t>
      </w:r>
      <w:r>
        <w:rPr>
          <w:b/>
          <w:i/>
        </w:rPr>
        <w:t xml:space="preserve">297.1 Aménagement d’un espace clos </w:t>
      </w:r>
      <w:r>
        <w:rPr>
          <w:i/>
        </w:rPr>
        <w:t>: Dans le cas d’un nouvel espace clos ou de la rénovation d’un espace clos existant, son aménagement doit intégrer des équipements et des installations permettant d’intervenir à partir de l’extérieur. De plus, les méthodes de travail correspondantes, prenant en compte les risques autour de l’espace clos, doivent être élaborées et être disponibles sur les lieux de travail avant sa mise en service.</w:t>
      </w:r>
    </w:p>
    <w:p w14:paraId="000000EE" w14:textId="77777777" w:rsidR="006B1DB6" w:rsidRDefault="00844031" w:rsidP="00824DE0">
      <w:pPr>
        <w:spacing w:before="60" w:after="60"/>
        <w:ind w:left="340"/>
        <w:jc w:val="both"/>
        <w:rPr>
          <w:i/>
        </w:rPr>
      </w:pPr>
      <w:r>
        <w:rPr>
          <w:i/>
        </w:rPr>
        <w:t>S’il est impossible, dans les cas prévus au premier alinéa, d’intégrer des équipements et des installations permettant d’intervenir à partir de l’extérieur, l’aménagement de l’espace clos doit permettre de contrôler efficacement les risques identifiés selon la cueillette de renseignements prescrite à l’article 300. De plus, cet aménagement doit notamment intégrer des équipements et des installations qui permettent :</w:t>
      </w:r>
    </w:p>
    <w:p w14:paraId="000000EF" w14:textId="77777777" w:rsidR="006B1DB6" w:rsidRDefault="00844031" w:rsidP="00824DE0">
      <w:pPr>
        <w:pBdr>
          <w:top w:val="nil"/>
          <w:left w:val="nil"/>
          <w:bottom w:val="nil"/>
          <w:right w:val="nil"/>
          <w:between w:val="nil"/>
        </w:pBdr>
        <w:spacing w:before="60"/>
        <w:ind w:left="340"/>
        <w:jc w:val="both"/>
        <w:rPr>
          <w:i/>
          <w:color w:val="000000"/>
        </w:rPr>
      </w:pPr>
      <w:r>
        <w:rPr>
          <w:i/>
          <w:color w:val="000000"/>
        </w:rPr>
        <w:t>1° de contrôler les risques atmosphériques, d’ensevelissement ou de noyade;</w:t>
      </w:r>
    </w:p>
    <w:p w14:paraId="000000F0" w14:textId="77777777" w:rsidR="006B1DB6" w:rsidRDefault="00844031" w:rsidP="00824DE0">
      <w:pPr>
        <w:pBdr>
          <w:top w:val="nil"/>
          <w:left w:val="nil"/>
          <w:bottom w:val="nil"/>
          <w:right w:val="nil"/>
          <w:between w:val="nil"/>
        </w:pBdr>
        <w:ind w:left="340"/>
        <w:jc w:val="both"/>
        <w:rPr>
          <w:i/>
          <w:color w:val="000000"/>
        </w:rPr>
      </w:pPr>
      <w:r>
        <w:rPr>
          <w:i/>
          <w:color w:val="000000"/>
        </w:rPr>
        <w:t>2° de faciliter l’entrée et la sortie, les déplacements à l’intérieur, ainsi que le sauvetage;</w:t>
      </w:r>
    </w:p>
    <w:p w14:paraId="000000F1" w14:textId="77777777" w:rsidR="006B1DB6" w:rsidRDefault="00844031" w:rsidP="00824DE0">
      <w:pPr>
        <w:pBdr>
          <w:top w:val="nil"/>
          <w:left w:val="nil"/>
          <w:bottom w:val="nil"/>
          <w:right w:val="nil"/>
          <w:between w:val="nil"/>
        </w:pBdr>
        <w:ind w:left="340"/>
        <w:jc w:val="both"/>
        <w:rPr>
          <w:i/>
          <w:color w:val="000000"/>
        </w:rPr>
      </w:pPr>
      <w:r>
        <w:rPr>
          <w:i/>
          <w:color w:val="000000"/>
        </w:rPr>
        <w:t>3° d’en contrôler l’accès et de prévenir les chutes;</w:t>
      </w:r>
    </w:p>
    <w:p w14:paraId="000000F2" w14:textId="77777777" w:rsidR="006B1DB6" w:rsidRDefault="00844031" w:rsidP="00824DE0">
      <w:pPr>
        <w:pBdr>
          <w:top w:val="nil"/>
          <w:left w:val="nil"/>
          <w:bottom w:val="nil"/>
          <w:right w:val="nil"/>
          <w:between w:val="nil"/>
        </w:pBdr>
        <w:ind w:left="340"/>
        <w:jc w:val="both"/>
        <w:rPr>
          <w:i/>
          <w:color w:val="000000"/>
        </w:rPr>
      </w:pPr>
      <w:r>
        <w:rPr>
          <w:i/>
          <w:color w:val="000000"/>
        </w:rPr>
        <w:t>4° de contrôler les autres risques pouvant compromettre la santé ou la sécurité d’un travailleur. »</w:t>
      </w:r>
    </w:p>
    <w:p w14:paraId="000000F3" w14:textId="77777777" w:rsidR="006B1DB6" w:rsidRDefault="006B1DB6" w:rsidP="00824DE0">
      <w:pPr>
        <w:pBdr>
          <w:top w:val="nil"/>
          <w:left w:val="nil"/>
          <w:bottom w:val="nil"/>
          <w:right w:val="nil"/>
          <w:between w:val="nil"/>
        </w:pBdr>
        <w:spacing w:after="60"/>
        <w:ind w:left="340"/>
        <w:jc w:val="both"/>
        <w:rPr>
          <w:color w:val="000000"/>
        </w:rPr>
      </w:pPr>
    </w:p>
    <w:p w14:paraId="000000F4" w14:textId="77777777" w:rsidR="006B1DB6" w:rsidRDefault="00844031" w:rsidP="00824DE0">
      <w:pPr>
        <w:spacing w:before="60" w:after="60"/>
        <w:jc w:val="both"/>
      </w:pPr>
      <w:hyperlink r:id="rId18">
        <w:r>
          <w:t>L’Institut de recherche Robert-Sauvé en santé et en sécurité du travail</w:t>
        </w:r>
      </w:hyperlink>
      <w:r>
        <w:t xml:space="preserve"> (IRSST) a développé une base de connaissances qui présente des exemples de moyens qui permettent d’éliminer, voire réduire les risques à la source, comme :</w:t>
      </w:r>
    </w:p>
    <w:p w14:paraId="000000F5" w14:textId="40C130CD" w:rsidR="006B1DB6" w:rsidRDefault="00844031" w:rsidP="00824DE0">
      <w:pPr>
        <w:numPr>
          <w:ilvl w:val="0"/>
          <w:numId w:val="30"/>
        </w:numPr>
        <w:pBdr>
          <w:top w:val="nil"/>
          <w:left w:val="nil"/>
          <w:bottom w:val="nil"/>
          <w:right w:val="nil"/>
          <w:between w:val="nil"/>
        </w:pBdr>
        <w:spacing w:before="60"/>
        <w:ind w:right="120"/>
        <w:jc w:val="both"/>
        <w:rPr>
          <w:color w:val="000000"/>
        </w:rPr>
      </w:pPr>
      <w:proofErr w:type="gramStart"/>
      <w:r>
        <w:rPr>
          <w:color w:val="000000"/>
        </w:rPr>
        <w:t>supprimer</w:t>
      </w:r>
      <w:proofErr w:type="gramEnd"/>
      <w:r>
        <w:rPr>
          <w:color w:val="000000"/>
        </w:rPr>
        <w:t xml:space="preserve"> complètement l’espace clos;</w:t>
      </w:r>
    </w:p>
    <w:p w14:paraId="000000F6" w14:textId="77777777" w:rsidR="006B1DB6" w:rsidRDefault="00844031" w:rsidP="00824DE0">
      <w:pPr>
        <w:numPr>
          <w:ilvl w:val="0"/>
          <w:numId w:val="30"/>
        </w:numPr>
        <w:pBdr>
          <w:top w:val="nil"/>
          <w:left w:val="nil"/>
          <w:bottom w:val="nil"/>
          <w:right w:val="nil"/>
          <w:between w:val="nil"/>
        </w:pBdr>
        <w:ind w:right="120"/>
        <w:jc w:val="both"/>
        <w:rPr>
          <w:color w:val="000000"/>
        </w:rPr>
      </w:pPr>
      <w:proofErr w:type="gramStart"/>
      <w:r>
        <w:rPr>
          <w:color w:val="000000"/>
        </w:rPr>
        <w:t>intervenir</w:t>
      </w:r>
      <w:proofErr w:type="gramEnd"/>
      <w:r>
        <w:rPr>
          <w:color w:val="000000"/>
        </w:rPr>
        <w:t xml:space="preserve"> à partir de l’extérieur de l’espace clos;</w:t>
      </w:r>
    </w:p>
    <w:p w14:paraId="000000F7" w14:textId="77777777" w:rsidR="006B1DB6" w:rsidRDefault="00844031" w:rsidP="00824DE0">
      <w:pPr>
        <w:numPr>
          <w:ilvl w:val="0"/>
          <w:numId w:val="30"/>
        </w:numPr>
        <w:pBdr>
          <w:top w:val="nil"/>
          <w:left w:val="nil"/>
          <w:bottom w:val="nil"/>
          <w:right w:val="nil"/>
          <w:between w:val="nil"/>
        </w:pBdr>
        <w:ind w:right="120"/>
        <w:jc w:val="both"/>
        <w:rPr>
          <w:color w:val="000000"/>
        </w:rPr>
      </w:pPr>
      <w:proofErr w:type="gramStart"/>
      <w:r>
        <w:rPr>
          <w:color w:val="000000"/>
        </w:rPr>
        <w:t>réduire</w:t>
      </w:r>
      <w:proofErr w:type="gramEnd"/>
      <w:r>
        <w:rPr>
          <w:color w:val="000000"/>
        </w:rPr>
        <w:t xml:space="preserve"> la fréquence des interventions;</w:t>
      </w:r>
    </w:p>
    <w:p w14:paraId="000000F8" w14:textId="77777777" w:rsidR="006B1DB6" w:rsidRDefault="00844031" w:rsidP="00824DE0">
      <w:pPr>
        <w:numPr>
          <w:ilvl w:val="0"/>
          <w:numId w:val="30"/>
        </w:numPr>
        <w:pBdr>
          <w:top w:val="nil"/>
          <w:left w:val="nil"/>
          <w:bottom w:val="nil"/>
          <w:right w:val="nil"/>
          <w:between w:val="nil"/>
        </w:pBdr>
        <w:ind w:right="120"/>
        <w:jc w:val="both"/>
        <w:rPr>
          <w:color w:val="000000"/>
        </w:rPr>
      </w:pPr>
      <w:proofErr w:type="gramStart"/>
      <w:r>
        <w:rPr>
          <w:color w:val="000000"/>
        </w:rPr>
        <w:t>contrôler</w:t>
      </w:r>
      <w:proofErr w:type="gramEnd"/>
      <w:r>
        <w:rPr>
          <w:color w:val="000000"/>
        </w:rPr>
        <w:t xml:space="preserve"> les risques atmosphériques, d’ensevelissement ou de noyade;</w:t>
      </w:r>
    </w:p>
    <w:p w14:paraId="000000F9" w14:textId="77777777" w:rsidR="006B1DB6" w:rsidRDefault="00844031" w:rsidP="00824DE0">
      <w:pPr>
        <w:numPr>
          <w:ilvl w:val="0"/>
          <w:numId w:val="30"/>
        </w:numPr>
        <w:pBdr>
          <w:top w:val="nil"/>
          <w:left w:val="nil"/>
          <w:bottom w:val="nil"/>
          <w:right w:val="nil"/>
          <w:between w:val="nil"/>
        </w:pBdr>
        <w:ind w:right="120"/>
        <w:jc w:val="both"/>
        <w:rPr>
          <w:color w:val="000000"/>
        </w:rPr>
      </w:pPr>
      <w:proofErr w:type="gramStart"/>
      <w:r>
        <w:rPr>
          <w:color w:val="000000"/>
        </w:rPr>
        <w:t>faciliter</w:t>
      </w:r>
      <w:proofErr w:type="gramEnd"/>
      <w:r>
        <w:rPr>
          <w:color w:val="000000"/>
        </w:rPr>
        <w:t xml:space="preserve"> l’entrée et la sortie, les déplacements à l’intérieur, ainsi que le sauvetage;</w:t>
      </w:r>
    </w:p>
    <w:p w14:paraId="000000FA" w14:textId="77777777" w:rsidR="006B1DB6" w:rsidRDefault="00844031" w:rsidP="00824DE0">
      <w:pPr>
        <w:numPr>
          <w:ilvl w:val="0"/>
          <w:numId w:val="30"/>
        </w:numPr>
        <w:pBdr>
          <w:top w:val="nil"/>
          <w:left w:val="nil"/>
          <w:bottom w:val="nil"/>
          <w:right w:val="nil"/>
          <w:between w:val="nil"/>
        </w:pBdr>
        <w:ind w:right="120"/>
        <w:jc w:val="both"/>
        <w:rPr>
          <w:color w:val="000000"/>
        </w:rPr>
      </w:pPr>
      <w:proofErr w:type="gramStart"/>
      <w:r>
        <w:rPr>
          <w:color w:val="000000"/>
        </w:rPr>
        <w:t>contrôler</w:t>
      </w:r>
      <w:proofErr w:type="gramEnd"/>
      <w:r>
        <w:rPr>
          <w:color w:val="000000"/>
        </w:rPr>
        <w:t xml:space="preserve"> l’accès et prévenir les chutes;</w:t>
      </w:r>
    </w:p>
    <w:p w14:paraId="000000FB" w14:textId="77777777" w:rsidR="006B1DB6" w:rsidRDefault="00844031" w:rsidP="00824DE0">
      <w:pPr>
        <w:numPr>
          <w:ilvl w:val="0"/>
          <w:numId w:val="30"/>
        </w:numPr>
        <w:pBdr>
          <w:top w:val="nil"/>
          <w:left w:val="nil"/>
          <w:bottom w:val="nil"/>
          <w:right w:val="nil"/>
          <w:between w:val="nil"/>
        </w:pBdr>
        <w:spacing w:after="60"/>
        <w:ind w:right="120"/>
        <w:jc w:val="both"/>
        <w:rPr>
          <w:color w:val="000000"/>
        </w:rPr>
      </w:pPr>
      <w:proofErr w:type="gramStart"/>
      <w:r>
        <w:rPr>
          <w:color w:val="000000"/>
        </w:rPr>
        <w:t>contrôler</w:t>
      </w:r>
      <w:proofErr w:type="gramEnd"/>
      <w:r>
        <w:rPr>
          <w:color w:val="000000"/>
        </w:rPr>
        <w:t xml:space="preserve"> les autres risques pouvant compromettre la santé et la sécurité d’une travailleuse ou d</w:t>
      </w:r>
      <w:r>
        <w:t>’un</w:t>
      </w:r>
      <w:r>
        <w:rPr>
          <w:color w:val="000000"/>
        </w:rPr>
        <w:t xml:space="preserve"> travailleur.</w:t>
      </w:r>
    </w:p>
    <w:p w14:paraId="000000FC" w14:textId="039AABDF" w:rsidR="006B1DB6" w:rsidRDefault="00844031" w:rsidP="00824DE0">
      <w:pPr>
        <w:spacing w:before="60" w:after="60"/>
        <w:jc w:val="both"/>
      </w:pPr>
      <w:r>
        <w:t>Nous vous suggérons fortement d’en prendre connaissance en consultant le document </w:t>
      </w:r>
      <w:hyperlink r:id="rId19">
        <w:r w:rsidRPr="00E86B38">
          <w:rPr>
            <w:color w:val="0070C0"/>
            <w:u w:val="single"/>
          </w:rPr>
          <w:t>Réduction des risques lors des interventions en espace clos : développement d’une base de connaissances sur la prévention intrinsèque et la protection collective (R-1167-fr</w:t>
        </w:r>
      </w:hyperlink>
      <w:r w:rsidRPr="00E86B38">
        <w:rPr>
          <w:color w:val="0070C0"/>
          <w:u w:val="single"/>
        </w:rPr>
        <w:t>)</w:t>
      </w:r>
      <w:r>
        <w:t xml:space="preserve"> de l'IRSST.</w:t>
      </w:r>
    </w:p>
    <w:p w14:paraId="000000FD" w14:textId="77777777" w:rsidR="006B1DB6" w:rsidRDefault="00844031" w:rsidP="00824DE0">
      <w:pPr>
        <w:pBdr>
          <w:top w:val="nil"/>
          <w:left w:val="nil"/>
          <w:bottom w:val="nil"/>
          <w:right w:val="nil"/>
          <w:between w:val="nil"/>
        </w:pBdr>
        <w:spacing w:before="120" w:after="60"/>
        <w:jc w:val="both"/>
        <w:rPr>
          <w:color w:val="000000"/>
        </w:rPr>
      </w:pPr>
      <w:r>
        <w:rPr>
          <w:color w:val="000000"/>
        </w:rPr>
        <w:t>Il est aussi recommandé de consulter les manuels d’instruction ou d’opération des procédés du fabricant ou de l’intégrateur des machines à l’intérieur des espaces clos ou des espaces clos à l’intérieur des machines, lorsque présen</w:t>
      </w:r>
      <w:r w:rsidRPr="00542FD4">
        <w:rPr>
          <w:color w:val="000000"/>
        </w:rPr>
        <w:t>t</w:t>
      </w:r>
      <w:r w:rsidRPr="00542FD4">
        <w:t>s</w:t>
      </w:r>
      <w:r>
        <w:rPr>
          <w:color w:val="000000"/>
        </w:rPr>
        <w:t>.</w:t>
      </w:r>
    </w:p>
    <w:p w14:paraId="000000FE" w14:textId="77777777" w:rsidR="006B1DB6" w:rsidRDefault="00844031" w:rsidP="00824DE0">
      <w:pPr>
        <w:pBdr>
          <w:top w:val="nil"/>
          <w:left w:val="nil"/>
          <w:bottom w:val="nil"/>
          <w:right w:val="nil"/>
          <w:between w:val="nil"/>
        </w:pBdr>
        <w:spacing w:before="60" w:after="60"/>
        <w:jc w:val="both"/>
        <w:rPr>
          <w:color w:val="000000"/>
        </w:rPr>
      </w:pPr>
      <w:r>
        <w:rPr>
          <w:color w:val="000000"/>
        </w:rPr>
        <w:t xml:space="preserve">Les mesures visant à contrôler les énergies (sources et résiduelles) et à réduire les risques doivent être déterminées en tenant compte du manuel d’instructions du fabricant, de l’intégrateur ou le cas échéant, par l’employeur. Certains éléments peuvent nécessiter l’approbation d’un(e) ingénieur(e). </w:t>
      </w:r>
    </w:p>
    <w:p w14:paraId="000000FF" w14:textId="77777777" w:rsidR="006B1DB6" w:rsidRDefault="006B1DB6" w:rsidP="00824DE0">
      <w:pPr>
        <w:pBdr>
          <w:top w:val="nil"/>
          <w:left w:val="nil"/>
          <w:bottom w:val="nil"/>
          <w:right w:val="nil"/>
          <w:between w:val="nil"/>
        </w:pBdr>
        <w:spacing w:before="60" w:after="60"/>
        <w:jc w:val="both"/>
        <w:rPr>
          <w:color w:val="000000"/>
        </w:rPr>
      </w:pPr>
    </w:p>
    <w:p w14:paraId="00000100" w14:textId="77777777" w:rsidR="006B1DB6" w:rsidRDefault="00844031" w:rsidP="00824DE0">
      <w:pPr>
        <w:pStyle w:val="Titre2"/>
        <w:jc w:val="both"/>
      </w:pPr>
      <w:bookmarkStart w:id="17" w:name="_Toc143845838"/>
      <w:r>
        <w:t>6.2</w:t>
      </w:r>
      <w:r>
        <w:tab/>
        <w:t>Transmettre les solutions</w:t>
      </w:r>
      <w:bookmarkEnd w:id="17"/>
      <w:r>
        <w:t xml:space="preserve"> </w:t>
      </w:r>
    </w:p>
    <w:p w14:paraId="00000101" w14:textId="5A4854DD" w:rsidR="006B1DB6" w:rsidRDefault="00844031" w:rsidP="00824DE0">
      <w:pPr>
        <w:jc w:val="both"/>
      </w:pPr>
      <w:r>
        <w:t>Les solutions doivent être transmises au(x) gestionnaire(s) concerné(es) et au service d’ingénierie/</w:t>
      </w:r>
      <w:r w:rsidR="00824DE0">
        <w:t xml:space="preserve"> </w:t>
      </w:r>
      <w:r>
        <w:t xml:space="preserve">approvisionnement, au besoin, pour que les démarches nécessaires à leurs réalisations soient entamées. </w:t>
      </w:r>
    </w:p>
    <w:p w14:paraId="00000102" w14:textId="77777777" w:rsidR="006B1DB6" w:rsidRDefault="006B1DB6" w:rsidP="00824DE0">
      <w:pPr>
        <w:jc w:val="both"/>
      </w:pPr>
    </w:p>
    <w:p w14:paraId="00000103" w14:textId="77777777" w:rsidR="006B1DB6" w:rsidRDefault="00844031" w:rsidP="00824DE0">
      <w:pPr>
        <w:pStyle w:val="Titre2"/>
        <w:jc w:val="both"/>
      </w:pPr>
      <w:bookmarkStart w:id="18" w:name="_Toc143845839"/>
      <w:r>
        <w:lastRenderedPageBreak/>
        <w:t>6.3</w:t>
      </w:r>
      <w:r>
        <w:tab/>
        <w:t>Émettre une directive sur les critères d’aménagement</w:t>
      </w:r>
      <w:bookmarkEnd w:id="18"/>
    </w:p>
    <w:p w14:paraId="00000104" w14:textId="77777777" w:rsidR="006B1DB6" w:rsidRDefault="00844031" w:rsidP="00824DE0">
      <w:pPr>
        <w:jc w:val="both"/>
      </w:pPr>
      <w:r>
        <w:t xml:space="preserve">La direction générale doit émettre une directive claire sur les critères à respecter lors de la conception de nouveaux espaces clos ou lors de la rénovation de ceux-ci. Parmi ceux énumérés au point 6.1, les critères appropriés doivent être intégrés aux devis des appels d’offres de chacun des types d’espaces clos concernés. </w:t>
      </w:r>
    </w:p>
    <w:p w14:paraId="00000105" w14:textId="77777777" w:rsidR="006B1DB6" w:rsidRDefault="00844031" w:rsidP="00824DE0">
      <w:pPr>
        <w:spacing w:before="120"/>
        <w:jc w:val="both"/>
      </w:pPr>
      <w:r>
        <w:t>Ainsi, il sera possible d’améliorer la sécurité des interventions et de faciliter l’applicabilité des procédures sécuritaires de travail</w:t>
      </w:r>
      <w:r w:rsidRPr="00542FD4">
        <w:t>. Cela contribuera à :</w:t>
      </w:r>
    </w:p>
    <w:p w14:paraId="00000106" w14:textId="77777777" w:rsidR="006B1DB6" w:rsidRDefault="00844031" w:rsidP="00824DE0">
      <w:pPr>
        <w:numPr>
          <w:ilvl w:val="0"/>
          <w:numId w:val="18"/>
        </w:numPr>
        <w:pBdr>
          <w:top w:val="nil"/>
          <w:left w:val="nil"/>
          <w:bottom w:val="nil"/>
          <w:right w:val="nil"/>
          <w:between w:val="nil"/>
        </w:pBdr>
        <w:spacing w:before="120"/>
        <w:jc w:val="both"/>
      </w:pPr>
      <w:proofErr w:type="gramStart"/>
      <w:r>
        <w:rPr>
          <w:color w:val="000000"/>
        </w:rPr>
        <w:t>éviter</w:t>
      </w:r>
      <w:proofErr w:type="gramEnd"/>
      <w:r>
        <w:rPr>
          <w:color w:val="000000"/>
        </w:rPr>
        <w:t xml:space="preserve"> </w:t>
      </w:r>
      <w:r>
        <w:t>d</w:t>
      </w:r>
      <w:r>
        <w:rPr>
          <w:color w:val="000000"/>
        </w:rPr>
        <w:t>es entrées en espace clos;</w:t>
      </w:r>
    </w:p>
    <w:p w14:paraId="00000107" w14:textId="77777777" w:rsidR="006B1DB6" w:rsidRDefault="00844031" w:rsidP="00824DE0">
      <w:pPr>
        <w:numPr>
          <w:ilvl w:val="0"/>
          <w:numId w:val="18"/>
        </w:numPr>
        <w:pBdr>
          <w:top w:val="nil"/>
          <w:left w:val="nil"/>
          <w:bottom w:val="nil"/>
          <w:right w:val="nil"/>
          <w:between w:val="nil"/>
        </w:pBdr>
        <w:spacing w:before="120"/>
        <w:jc w:val="both"/>
      </w:pPr>
      <w:proofErr w:type="gramStart"/>
      <w:r>
        <w:rPr>
          <w:color w:val="000000"/>
        </w:rPr>
        <w:t>alléger</w:t>
      </w:r>
      <w:proofErr w:type="gramEnd"/>
      <w:r>
        <w:rPr>
          <w:color w:val="000000"/>
        </w:rPr>
        <w:t xml:space="preserve"> la charge de travail;</w:t>
      </w:r>
    </w:p>
    <w:p w14:paraId="00000108" w14:textId="77777777" w:rsidR="006B1DB6" w:rsidRDefault="00844031" w:rsidP="00824DE0">
      <w:pPr>
        <w:numPr>
          <w:ilvl w:val="0"/>
          <w:numId w:val="18"/>
        </w:numPr>
        <w:pBdr>
          <w:top w:val="nil"/>
          <w:left w:val="nil"/>
          <w:bottom w:val="nil"/>
          <w:right w:val="nil"/>
          <w:between w:val="nil"/>
        </w:pBdr>
        <w:spacing w:before="120"/>
        <w:jc w:val="both"/>
      </w:pPr>
      <w:proofErr w:type="gramStart"/>
      <w:r>
        <w:rPr>
          <w:color w:val="000000"/>
        </w:rPr>
        <w:t>diminuer</w:t>
      </w:r>
      <w:proofErr w:type="gramEnd"/>
      <w:r>
        <w:rPr>
          <w:color w:val="000000"/>
        </w:rPr>
        <w:t xml:space="preserve"> la durée des interventions;</w:t>
      </w:r>
    </w:p>
    <w:p w14:paraId="00000109" w14:textId="77777777" w:rsidR="006B1DB6" w:rsidRDefault="00844031" w:rsidP="00824DE0">
      <w:pPr>
        <w:numPr>
          <w:ilvl w:val="0"/>
          <w:numId w:val="18"/>
        </w:numPr>
        <w:pBdr>
          <w:top w:val="nil"/>
          <w:left w:val="nil"/>
          <w:bottom w:val="nil"/>
          <w:right w:val="nil"/>
          <w:between w:val="nil"/>
        </w:pBdr>
        <w:spacing w:before="120"/>
        <w:jc w:val="both"/>
      </w:pPr>
      <w:proofErr w:type="gramStart"/>
      <w:r>
        <w:rPr>
          <w:color w:val="000000"/>
        </w:rPr>
        <w:t>améliorer</w:t>
      </w:r>
      <w:proofErr w:type="gramEnd"/>
      <w:r>
        <w:rPr>
          <w:color w:val="000000"/>
        </w:rPr>
        <w:t xml:space="preserve"> la productivité;</w:t>
      </w:r>
    </w:p>
    <w:p w14:paraId="0000010A" w14:textId="77777777" w:rsidR="006B1DB6" w:rsidRDefault="00000000" w:rsidP="00824DE0">
      <w:pPr>
        <w:numPr>
          <w:ilvl w:val="0"/>
          <w:numId w:val="18"/>
        </w:numPr>
        <w:pBdr>
          <w:top w:val="nil"/>
          <w:left w:val="nil"/>
          <w:bottom w:val="nil"/>
          <w:right w:val="nil"/>
          <w:between w:val="nil"/>
        </w:pBdr>
        <w:spacing w:before="120"/>
        <w:jc w:val="both"/>
      </w:pPr>
      <w:sdt>
        <w:sdtPr>
          <w:tag w:val="goog_rdk_11"/>
          <w:id w:val="-509758817"/>
        </w:sdtPr>
        <w:sdtContent/>
      </w:sdt>
      <w:proofErr w:type="gramStart"/>
      <w:r w:rsidR="00844031">
        <w:rPr>
          <w:color w:val="000000"/>
        </w:rPr>
        <w:t>réduire</w:t>
      </w:r>
      <w:proofErr w:type="gramEnd"/>
      <w:r w:rsidR="00844031">
        <w:rPr>
          <w:color w:val="000000"/>
        </w:rPr>
        <w:t xml:space="preserve"> l’exposition des travaille</w:t>
      </w:r>
      <w:r w:rsidR="00844031">
        <w:t>uses et des</w:t>
      </w:r>
      <w:r w:rsidR="00844031">
        <w:rPr>
          <w:color w:val="000000"/>
        </w:rPr>
        <w:t xml:space="preserve"> travailleurs aux risques liés aux interventions en espaces clos; </w:t>
      </w:r>
    </w:p>
    <w:p w14:paraId="0000010B" w14:textId="6CB87344" w:rsidR="006B1DB6" w:rsidRDefault="00962C80" w:rsidP="00824DE0">
      <w:pPr>
        <w:numPr>
          <w:ilvl w:val="0"/>
          <w:numId w:val="18"/>
        </w:numPr>
        <w:pBdr>
          <w:top w:val="nil"/>
          <w:left w:val="nil"/>
          <w:bottom w:val="nil"/>
          <w:right w:val="nil"/>
          <w:between w:val="nil"/>
        </w:pBdr>
        <w:spacing w:before="120"/>
        <w:jc w:val="both"/>
      </w:pPr>
      <w:proofErr w:type="gramStart"/>
      <w:r>
        <w:rPr>
          <w:color w:val="000000"/>
        </w:rPr>
        <w:t>diminuer</w:t>
      </w:r>
      <w:proofErr w:type="gramEnd"/>
      <w:r>
        <w:rPr>
          <w:color w:val="000000"/>
        </w:rPr>
        <w:t xml:space="preserve"> </w:t>
      </w:r>
      <w:r w:rsidR="00844031">
        <w:rPr>
          <w:color w:val="000000"/>
        </w:rPr>
        <w:t>les coûts liés aux accidents de travail.</w:t>
      </w:r>
    </w:p>
    <w:p w14:paraId="0000010C" w14:textId="77777777" w:rsidR="006B1DB6" w:rsidRDefault="006B1DB6" w:rsidP="00824DE0">
      <w:pPr>
        <w:jc w:val="both"/>
      </w:pPr>
    </w:p>
    <w:p w14:paraId="0000010D" w14:textId="77777777" w:rsidR="006B1DB6" w:rsidRDefault="00844031" w:rsidP="00824DE0">
      <w:pPr>
        <w:pStyle w:val="Titre2"/>
        <w:jc w:val="both"/>
      </w:pPr>
      <w:bookmarkStart w:id="19" w:name="_Toc143845840"/>
      <w:r>
        <w:t>6.4</w:t>
      </w:r>
      <w:r>
        <w:tab/>
        <w:t>Effectuer un suivi des correctifs</w:t>
      </w:r>
      <w:bookmarkEnd w:id="19"/>
      <w:r>
        <w:t xml:space="preserve"> </w:t>
      </w:r>
    </w:p>
    <w:p w14:paraId="0000010E" w14:textId="77777777" w:rsidR="006B1DB6" w:rsidRDefault="00844031" w:rsidP="00824DE0">
      <w:pPr>
        <w:jc w:val="both"/>
      </w:pPr>
      <w:r>
        <w:t xml:space="preserve">Un suivi des correctifs doit être effectué auprès de la coordonnatrice ou du coordonnateur du plan d’action, afin qu’ils soient analysés par une personne qualifiée. La mise à jour de la « Fiche de renseignements » de l’espace, de même que les procédures sécuritaires d’entrée, de travail et de premiers secours, d’urgence ou de sauvetage, selon le cas, devront aussi être effectués. </w:t>
      </w:r>
    </w:p>
    <w:p w14:paraId="0000010F" w14:textId="77777777" w:rsidR="006B1DB6" w:rsidRDefault="006B1DB6" w:rsidP="00824DE0">
      <w:pPr>
        <w:jc w:val="both"/>
      </w:pPr>
    </w:p>
    <w:p w14:paraId="00000110" w14:textId="77777777" w:rsidR="006B1DB6" w:rsidRDefault="00844031" w:rsidP="00F4051F">
      <w:pPr>
        <w:pStyle w:val="Titre1"/>
        <w:numPr>
          <w:ilvl w:val="0"/>
          <w:numId w:val="22"/>
        </w:numPr>
        <w:ind w:left="360" w:hanging="360"/>
        <w:jc w:val="both"/>
      </w:pPr>
      <w:bookmarkStart w:id="20" w:name="_Toc143845841"/>
      <w:r>
        <w:t>Procédures sécuritaires</w:t>
      </w:r>
      <w:bookmarkEnd w:id="20"/>
    </w:p>
    <w:p w14:paraId="00000111" w14:textId="4308C59E" w:rsidR="006B1DB6" w:rsidRDefault="00844031" w:rsidP="00824DE0">
      <w:pPr>
        <w:spacing w:before="120"/>
        <w:jc w:val="both"/>
      </w:pPr>
      <w:r>
        <w:t>La rédaction des procédures est une étape du plan d’action qui demande de bien analyser la façon d’organiser et d’effectuer chacune des tâches. Une personne qualifiée de l’organisation doit être désignée pour faire la cueillette des renseignements en collaboration avec</w:t>
      </w:r>
      <w:r w:rsidR="00EF0C11">
        <w:t xml:space="preserve"> la ou les personnes occupant la fonction </w:t>
      </w:r>
      <w:r w:rsidR="00E15402">
        <w:t>de gestionnaire</w:t>
      </w:r>
      <w:r w:rsidR="00EF0C11">
        <w:t>,</w:t>
      </w:r>
      <w:r>
        <w:t xml:space="preserve"> ainsi que les travailleuses et les travailleurs </w:t>
      </w:r>
      <w:sdt>
        <w:sdtPr>
          <w:tag w:val="goog_rdk_13"/>
          <w:id w:val="1235971265"/>
        </w:sdtPr>
        <w:sdtContent/>
      </w:sdt>
      <w:r>
        <w:t>compétents qui ont une bonne connaissance de l’espace concerné et des travaux qui y sont effectués. Les procédures sécuritaires sont à rédiger pour chacune des tâches selon les situations de travail suivantes :</w:t>
      </w:r>
    </w:p>
    <w:p w14:paraId="00000112" w14:textId="77777777" w:rsidR="006B1DB6" w:rsidRDefault="00844031" w:rsidP="00824DE0">
      <w:pPr>
        <w:numPr>
          <w:ilvl w:val="0"/>
          <w:numId w:val="9"/>
        </w:numPr>
        <w:pBdr>
          <w:top w:val="nil"/>
          <w:left w:val="nil"/>
          <w:bottom w:val="nil"/>
          <w:right w:val="nil"/>
          <w:between w:val="nil"/>
        </w:pBdr>
        <w:spacing w:before="60" w:after="60"/>
        <w:ind w:left="360"/>
        <w:jc w:val="both"/>
        <w:rPr>
          <w:color w:val="000000"/>
        </w:rPr>
      </w:pPr>
      <w:r>
        <w:rPr>
          <w:color w:val="000000"/>
        </w:rPr>
        <w:t>SANS ENTRER</w:t>
      </w:r>
    </w:p>
    <w:p w14:paraId="00000114" w14:textId="3C89DCEC" w:rsidR="006B1DB6" w:rsidRDefault="00844031" w:rsidP="00F4051F">
      <w:pPr>
        <w:ind w:left="360"/>
        <w:jc w:val="both"/>
      </w:pPr>
      <w:r>
        <w:t xml:space="preserve">Effectuer une tâche à partir de l’extérieur permet d’éviter aux travailleuses et aux travailleurs d’être exposés aux nombreux risques inhérents à l’espace clos. Néanmoins, les risques environnants (circulation de véhicules à proximité, chute, etc.) et ceux liés à chacune des tâches doivent être analysés afin de déterminer les moyens de prévention et de premiers secours appropriés. </w:t>
      </w:r>
    </w:p>
    <w:p w14:paraId="00000115" w14:textId="77777777" w:rsidR="006B1DB6" w:rsidRDefault="006B1DB6" w:rsidP="00824DE0">
      <w:pPr>
        <w:ind w:left="360"/>
        <w:jc w:val="both"/>
      </w:pPr>
    </w:p>
    <w:p w14:paraId="00000116" w14:textId="77777777" w:rsidR="006B1DB6" w:rsidRDefault="00844031" w:rsidP="00824DE0">
      <w:pPr>
        <w:numPr>
          <w:ilvl w:val="0"/>
          <w:numId w:val="9"/>
        </w:numPr>
        <w:pBdr>
          <w:top w:val="nil"/>
          <w:left w:val="nil"/>
          <w:bottom w:val="nil"/>
          <w:right w:val="nil"/>
          <w:between w:val="nil"/>
        </w:pBdr>
        <w:spacing w:before="60" w:after="60"/>
        <w:ind w:left="360"/>
        <w:jc w:val="both"/>
        <w:rPr>
          <w:color w:val="000000"/>
        </w:rPr>
      </w:pPr>
      <w:r>
        <w:rPr>
          <w:color w:val="000000"/>
        </w:rPr>
        <w:t>EN ESPACE CLOS</w:t>
      </w:r>
    </w:p>
    <w:p w14:paraId="00000117" w14:textId="09539C37" w:rsidR="006B1DB6" w:rsidRDefault="00844031" w:rsidP="00824DE0">
      <w:pPr>
        <w:spacing w:after="120"/>
        <w:ind w:left="360"/>
        <w:jc w:val="both"/>
      </w:pPr>
      <w:r>
        <w:t xml:space="preserve">Les procédures d’entrée et de travail en espace clos comportent une succession d’étapes logiques qui doivent être rigoureusement suivies. Puisque chacune des tâches présente des risques différents, les procédures de travail et de sauvetage doivent être </w:t>
      </w:r>
      <w:r w:rsidRPr="008212C8">
        <w:t xml:space="preserve">adaptées à chacune </w:t>
      </w:r>
      <w:sdt>
        <w:sdtPr>
          <w:tag w:val="goog_rdk_14"/>
          <w:id w:val="-930972864"/>
        </w:sdtPr>
        <w:sdtContent/>
      </w:sdt>
      <w:r w:rsidRPr="008212C8">
        <w:t>d</w:t>
      </w:r>
      <w:r w:rsidR="008212C8" w:rsidRPr="008212C8">
        <w:t>’elles</w:t>
      </w:r>
      <w:r w:rsidRPr="008212C8">
        <w:t xml:space="preserve"> pour chaque</w:t>
      </w:r>
      <w:r>
        <w:t xml:space="preserve"> type d’espaces clos. </w:t>
      </w:r>
    </w:p>
    <w:p w14:paraId="46DAB5D3" w14:textId="77777777" w:rsidR="00824DE0" w:rsidRDefault="00824DE0">
      <w:r>
        <w:br w:type="page"/>
      </w:r>
    </w:p>
    <w:p w14:paraId="00000118" w14:textId="23EC99F3" w:rsidR="006B1DB6" w:rsidRDefault="00844031" w:rsidP="00824DE0">
      <w:pPr>
        <w:spacing w:after="120"/>
        <w:ind w:left="360"/>
        <w:jc w:val="both"/>
      </w:pPr>
      <w:r>
        <w:lastRenderedPageBreak/>
        <w:t>Vous trouverez dans le document intitulé « Fiche de renseignements » les informations suivantes :</w:t>
      </w:r>
    </w:p>
    <w:p w14:paraId="00000119" w14:textId="77777777" w:rsidR="006B1DB6" w:rsidRDefault="00844031" w:rsidP="00824DE0">
      <w:pPr>
        <w:numPr>
          <w:ilvl w:val="0"/>
          <w:numId w:val="19"/>
        </w:numPr>
        <w:pBdr>
          <w:top w:val="nil"/>
          <w:left w:val="nil"/>
          <w:bottom w:val="nil"/>
          <w:right w:val="nil"/>
          <w:between w:val="nil"/>
        </w:pBdr>
        <w:jc w:val="both"/>
        <w:rPr>
          <w:rFonts w:eastAsia="Calibri"/>
          <w:color w:val="000000"/>
        </w:rPr>
      </w:pPr>
      <w:proofErr w:type="gramStart"/>
      <w:r>
        <w:rPr>
          <w:rFonts w:eastAsia="Calibri"/>
          <w:color w:val="000000"/>
        </w:rPr>
        <w:t>les</w:t>
      </w:r>
      <w:proofErr w:type="gramEnd"/>
      <w:r>
        <w:rPr>
          <w:rFonts w:eastAsia="Calibri"/>
          <w:color w:val="000000"/>
        </w:rPr>
        <w:t xml:space="preserve"> tâches pour lesquelles la procédure d’entrée s’applique;</w:t>
      </w:r>
    </w:p>
    <w:p w14:paraId="0000011A" w14:textId="77777777" w:rsidR="006B1DB6" w:rsidRDefault="00844031" w:rsidP="00824DE0">
      <w:pPr>
        <w:numPr>
          <w:ilvl w:val="0"/>
          <w:numId w:val="19"/>
        </w:numPr>
        <w:pBdr>
          <w:top w:val="nil"/>
          <w:left w:val="nil"/>
          <w:bottom w:val="nil"/>
          <w:right w:val="nil"/>
          <w:between w:val="nil"/>
        </w:pBdr>
        <w:jc w:val="both"/>
        <w:rPr>
          <w:rFonts w:eastAsia="Calibri"/>
          <w:color w:val="000000"/>
        </w:rPr>
      </w:pPr>
      <w:proofErr w:type="gramStart"/>
      <w:r>
        <w:rPr>
          <w:rFonts w:eastAsia="Calibri"/>
          <w:color w:val="000000"/>
        </w:rPr>
        <w:t>les</w:t>
      </w:r>
      <w:proofErr w:type="gramEnd"/>
      <w:r>
        <w:rPr>
          <w:rFonts w:eastAsia="Calibri"/>
          <w:color w:val="000000"/>
        </w:rPr>
        <w:t xml:space="preserve"> tâches qui nécessitent une procédure sécuritaire de travail complémentaire, tels le travail à chaud, le nettoyage à haute pression, l’application d’un revêtement sur les parois, etc.; </w:t>
      </w:r>
    </w:p>
    <w:p w14:paraId="0000011B" w14:textId="77777777" w:rsidR="006B1DB6" w:rsidRDefault="00844031" w:rsidP="00824DE0">
      <w:pPr>
        <w:numPr>
          <w:ilvl w:val="0"/>
          <w:numId w:val="19"/>
        </w:numPr>
        <w:pBdr>
          <w:top w:val="nil"/>
          <w:left w:val="nil"/>
          <w:bottom w:val="nil"/>
          <w:right w:val="nil"/>
          <w:between w:val="nil"/>
        </w:pBdr>
        <w:spacing w:after="120"/>
        <w:jc w:val="both"/>
        <w:rPr>
          <w:rFonts w:eastAsia="Calibri"/>
          <w:color w:val="000000"/>
        </w:rPr>
      </w:pPr>
      <w:proofErr w:type="gramStart"/>
      <w:r>
        <w:rPr>
          <w:rFonts w:eastAsia="Calibri"/>
          <w:color w:val="000000"/>
        </w:rPr>
        <w:t>les</w:t>
      </w:r>
      <w:proofErr w:type="gramEnd"/>
      <w:r>
        <w:rPr>
          <w:rFonts w:eastAsia="Calibri"/>
          <w:color w:val="000000"/>
        </w:rPr>
        <w:t xml:space="preserve"> procédures de sauvetage applicables selon la situation de travail et la tâche à effectuer.</w:t>
      </w:r>
    </w:p>
    <w:p w14:paraId="0000011C" w14:textId="01EA55B4" w:rsidR="006B1DB6" w:rsidRDefault="00844031" w:rsidP="00824DE0">
      <w:pPr>
        <w:spacing w:before="120" w:after="200" w:line="276" w:lineRule="auto"/>
        <w:ind w:left="360"/>
        <w:jc w:val="both"/>
      </w:pPr>
      <w:r>
        <w:t xml:space="preserve">Nous vous invitons à personnaliser les exemples, </w:t>
      </w:r>
      <w:sdt>
        <w:sdtPr>
          <w:tag w:val="goog_rdk_15"/>
          <w:id w:val="1273365166"/>
        </w:sdtPr>
        <w:sdtContent/>
      </w:sdt>
      <w:r>
        <w:t>soit</w:t>
      </w:r>
      <w:r w:rsidR="00AB55E6">
        <w:t xml:space="preserve"> le document</w:t>
      </w:r>
      <w:r>
        <w:t xml:space="preserve"> « Procédure d’entrée en espace clos » ainsi que la « Fiche de contrôle/</w:t>
      </w:r>
      <w:r>
        <w:rPr>
          <w:color w:val="000000"/>
        </w:rPr>
        <w:t>permis d’entrée en espace clos »</w:t>
      </w:r>
      <w:r>
        <w:t xml:space="preserve"> qui l’accompagne et qui résume toutes les vérifications qui doivent être effectuées avant le départ et l’entrée, de même que durant toute la durée des travaux. </w:t>
      </w:r>
    </w:p>
    <w:p w14:paraId="0000011E" w14:textId="209052E6" w:rsidR="006B1DB6" w:rsidRPr="00F4051F" w:rsidRDefault="00844031" w:rsidP="00F4051F">
      <w:pPr>
        <w:spacing w:after="200" w:line="276" w:lineRule="auto"/>
        <w:ind w:left="360"/>
        <w:jc w:val="both"/>
      </w:pPr>
      <w:r>
        <w:t>C</w:t>
      </w:r>
      <w:r>
        <w:rPr>
          <w:color w:val="000000"/>
        </w:rPr>
        <w:t xml:space="preserve">ette fiche de contrôle/ce permis </w:t>
      </w:r>
      <w:r>
        <w:t xml:space="preserve">doit être signé(e) </w:t>
      </w:r>
      <w:r>
        <w:rPr>
          <w:color w:val="000000"/>
        </w:rPr>
        <w:t>avant l</w:t>
      </w:r>
      <w:r>
        <w:t xml:space="preserve">’intervention </w:t>
      </w:r>
      <w:r>
        <w:rPr>
          <w:color w:val="000000"/>
        </w:rPr>
        <w:t>par la/</w:t>
      </w:r>
      <w:r>
        <w:t>l</w:t>
      </w:r>
      <w:r>
        <w:rPr>
          <w:color w:val="000000"/>
        </w:rPr>
        <w:t>e surveillant(e)</w:t>
      </w:r>
      <w:r>
        <w:t xml:space="preserve"> et</w:t>
      </w:r>
      <w:r>
        <w:rPr>
          <w:color w:val="000000"/>
        </w:rPr>
        <w:t xml:space="preserve"> cha</w:t>
      </w:r>
      <w:r>
        <w:t>que</w:t>
      </w:r>
      <w:r>
        <w:rPr>
          <w:color w:val="000000"/>
        </w:rPr>
        <w:t xml:space="preserve"> travailleuse et travailleur entrant, ce qui </w:t>
      </w:r>
      <w:r>
        <w:t>atteste de leur prise de connaissance des informations relatives aux risques et aux mesures de prévention contenues dans la « Fiche de renseignements » de l'espace en question. Leurs signatures confirment également</w:t>
      </w:r>
      <w:r>
        <w:rPr>
          <w:color w:val="000000"/>
        </w:rPr>
        <w:t xml:space="preserve"> que ce</w:t>
      </w:r>
      <w:r>
        <w:t>s informations</w:t>
      </w:r>
      <w:r>
        <w:rPr>
          <w:color w:val="000000"/>
        </w:rPr>
        <w:t xml:space="preserve"> leur ont été expliquées par une personne qui était en mesure de les informer adéquatement sur la façon d’accomplir leur travail de façon sécuritaire dans l</w:t>
      </w:r>
      <w:r>
        <w:t>’espace concerné</w:t>
      </w:r>
      <w:r>
        <w:rPr>
          <w:color w:val="000000"/>
        </w:rPr>
        <w:t>. L</w:t>
      </w:r>
      <w:r>
        <w:t>a/le gestionnaire peut signer la fiche de contrôle/le permis avant ou après l’intervention, mais dans tous les cas, devra en faire la vérification une fois les travaux complétés.</w:t>
      </w:r>
    </w:p>
    <w:p w14:paraId="0000011F" w14:textId="77777777" w:rsidR="006B1DB6" w:rsidRDefault="00844031" w:rsidP="00824DE0">
      <w:pPr>
        <w:numPr>
          <w:ilvl w:val="0"/>
          <w:numId w:val="9"/>
        </w:numPr>
        <w:pBdr>
          <w:top w:val="nil"/>
          <w:left w:val="nil"/>
          <w:bottom w:val="nil"/>
          <w:right w:val="nil"/>
          <w:between w:val="nil"/>
        </w:pBdr>
        <w:spacing w:before="60" w:after="60"/>
        <w:ind w:left="360"/>
        <w:jc w:val="both"/>
        <w:rPr>
          <w:color w:val="000000"/>
        </w:rPr>
      </w:pPr>
      <w:r>
        <w:rPr>
          <w:color w:val="000000"/>
        </w:rPr>
        <w:t>EN ESPACE AVEC ACCÈS RESTREINT </w:t>
      </w:r>
    </w:p>
    <w:p w14:paraId="00000120" w14:textId="47DC9D7B" w:rsidR="006B1DB6" w:rsidRDefault="00844031" w:rsidP="00824DE0">
      <w:pPr>
        <w:pBdr>
          <w:top w:val="nil"/>
          <w:left w:val="nil"/>
          <w:bottom w:val="nil"/>
          <w:right w:val="nil"/>
          <w:between w:val="nil"/>
        </w:pBdr>
        <w:spacing w:before="60" w:after="60"/>
        <w:ind w:left="360"/>
        <w:jc w:val="both"/>
        <w:rPr>
          <w:color w:val="000000"/>
        </w:rPr>
      </w:pPr>
      <w:r>
        <w:rPr>
          <w:color w:val="000000"/>
        </w:rPr>
        <w:t xml:space="preserve">Bien que les espaces avec accès restreint ne soient pas soumis aux dispositions prévues à la section XXVI du RSST, parce qu’ils ne comportent </w:t>
      </w:r>
      <w:r>
        <w:t>aucun</w:t>
      </w:r>
      <w:r>
        <w:rPr>
          <w:color w:val="000000"/>
        </w:rPr>
        <w:t xml:space="preserve"> des risques </w:t>
      </w:r>
      <w:r>
        <w:t xml:space="preserve">ciblés par </w:t>
      </w:r>
      <w:r>
        <w:rPr>
          <w:color w:val="000000"/>
        </w:rPr>
        <w:t xml:space="preserve">la définition d’un espace clos, il n’en demeure pas moins que ceux-ci peuvent présenter des </w:t>
      </w:r>
      <w:sdt>
        <w:sdtPr>
          <w:tag w:val="goog_rdk_16"/>
          <w:id w:val="182725326"/>
        </w:sdtPr>
        <w:sdtContent/>
      </w:sdt>
      <w:r>
        <w:rPr>
          <w:color w:val="000000"/>
        </w:rPr>
        <w:t>risques pour la santé et la sécurité des travailleuses et des travailleurs</w:t>
      </w:r>
      <w:r w:rsidR="00955AF6">
        <w:rPr>
          <w:color w:val="000000"/>
        </w:rPr>
        <w:t xml:space="preserve">. </w:t>
      </w:r>
      <w:r w:rsidR="00C157A8">
        <w:rPr>
          <w:color w:val="000000"/>
        </w:rPr>
        <w:t xml:space="preserve">Pour que ces </w:t>
      </w:r>
      <w:r w:rsidR="00955AF6">
        <w:rPr>
          <w:color w:val="000000"/>
        </w:rPr>
        <w:t xml:space="preserve">risques </w:t>
      </w:r>
      <w:r w:rsidR="00C157A8">
        <w:rPr>
          <w:color w:val="000000"/>
        </w:rPr>
        <w:t>soient</w:t>
      </w:r>
      <w:r w:rsidR="00955AF6">
        <w:rPr>
          <w:color w:val="000000"/>
        </w:rPr>
        <w:t xml:space="preserve"> contrôlés</w:t>
      </w:r>
      <w:r w:rsidR="00C157A8">
        <w:rPr>
          <w:color w:val="000000"/>
        </w:rPr>
        <w:t>, il</w:t>
      </w:r>
      <w:r>
        <w:rPr>
          <w:color w:val="000000"/>
        </w:rPr>
        <w:t xml:space="preserve"> est donc important de prévoir :</w:t>
      </w:r>
    </w:p>
    <w:p w14:paraId="00000121" w14:textId="77777777" w:rsidR="006B1DB6" w:rsidRDefault="00844031" w:rsidP="00824DE0">
      <w:pPr>
        <w:numPr>
          <w:ilvl w:val="0"/>
          <w:numId w:val="3"/>
        </w:numPr>
        <w:pBdr>
          <w:top w:val="nil"/>
          <w:left w:val="nil"/>
          <w:bottom w:val="nil"/>
          <w:right w:val="nil"/>
          <w:between w:val="nil"/>
        </w:pBdr>
        <w:jc w:val="both"/>
      </w:pPr>
      <w:proofErr w:type="gramStart"/>
      <w:r>
        <w:t>l</w:t>
      </w:r>
      <w:r>
        <w:rPr>
          <w:color w:val="000000"/>
        </w:rPr>
        <w:t>es</w:t>
      </w:r>
      <w:proofErr w:type="gramEnd"/>
      <w:r>
        <w:rPr>
          <w:color w:val="000000"/>
        </w:rPr>
        <w:t xml:space="preserve"> procédures de travail sécuritaires (étape par étape) avec ou sans fiches/permis spécifiques (cadenassage, travail à chaud, travail en hauteur, risques chimiques et biologiques, etc.);</w:t>
      </w:r>
    </w:p>
    <w:p w14:paraId="00000122" w14:textId="77777777" w:rsidR="006B1DB6" w:rsidRDefault="00844031" w:rsidP="00824DE0">
      <w:pPr>
        <w:numPr>
          <w:ilvl w:val="0"/>
          <w:numId w:val="3"/>
        </w:numPr>
        <w:pBdr>
          <w:top w:val="nil"/>
          <w:left w:val="nil"/>
          <w:bottom w:val="nil"/>
          <w:right w:val="nil"/>
          <w:between w:val="nil"/>
        </w:pBdr>
        <w:jc w:val="both"/>
      </w:pPr>
      <w:proofErr w:type="gramStart"/>
      <w:r>
        <w:t>l</w:t>
      </w:r>
      <w:r>
        <w:rPr>
          <w:color w:val="000000"/>
        </w:rPr>
        <w:t>’analyse</w:t>
      </w:r>
      <w:proofErr w:type="gramEnd"/>
      <w:r>
        <w:rPr>
          <w:color w:val="000000"/>
        </w:rPr>
        <w:t xml:space="preserve"> de l’atmosphère, selon les risques susceptibles d’être présents, pour démontrer que le contrôle de sa qualité par la ventilation est efficace</w:t>
      </w:r>
      <w:r>
        <w:t>;</w:t>
      </w:r>
    </w:p>
    <w:p w14:paraId="00000123" w14:textId="77777777" w:rsidR="006B1DB6" w:rsidRDefault="00844031" w:rsidP="00824DE0">
      <w:pPr>
        <w:numPr>
          <w:ilvl w:val="0"/>
          <w:numId w:val="3"/>
        </w:numPr>
        <w:pBdr>
          <w:top w:val="nil"/>
          <w:left w:val="nil"/>
          <w:bottom w:val="nil"/>
          <w:right w:val="nil"/>
          <w:between w:val="nil"/>
        </w:pBdr>
        <w:jc w:val="both"/>
      </w:pPr>
      <w:proofErr w:type="gramStart"/>
      <w:r>
        <w:t>u</w:t>
      </w:r>
      <w:r>
        <w:rPr>
          <w:color w:val="000000"/>
        </w:rPr>
        <w:t>ne</w:t>
      </w:r>
      <w:proofErr w:type="gramEnd"/>
      <w:r>
        <w:rPr>
          <w:color w:val="000000"/>
        </w:rPr>
        <w:t xml:space="preserve"> méthode de surveillance efficace pour les « Travaux dans un lieu isolé » (</w:t>
      </w:r>
      <w:hyperlink r:id="rId20" w:anchor="20220404">
        <w:r>
          <w:t>RSST, art. 322</w:t>
        </w:r>
      </w:hyperlink>
      <w:r>
        <w:rPr>
          <w:color w:val="000000"/>
        </w:rPr>
        <w:t>);</w:t>
      </w:r>
    </w:p>
    <w:p w14:paraId="00000124" w14:textId="77777777" w:rsidR="006B1DB6" w:rsidRDefault="00844031" w:rsidP="00824DE0">
      <w:pPr>
        <w:numPr>
          <w:ilvl w:val="0"/>
          <w:numId w:val="3"/>
        </w:numPr>
        <w:pBdr>
          <w:top w:val="nil"/>
          <w:left w:val="nil"/>
          <w:bottom w:val="nil"/>
          <w:right w:val="nil"/>
          <w:between w:val="nil"/>
        </w:pBdr>
        <w:jc w:val="both"/>
      </w:pPr>
      <w:proofErr w:type="gramStart"/>
      <w:r>
        <w:t>l</w:t>
      </w:r>
      <w:r>
        <w:rPr>
          <w:color w:val="000000"/>
        </w:rPr>
        <w:t>es</w:t>
      </w:r>
      <w:proofErr w:type="gramEnd"/>
      <w:r>
        <w:rPr>
          <w:color w:val="000000"/>
        </w:rPr>
        <w:t xml:space="preserve"> premiers secours et lorsque requis, une procédure de sauvetage spécialisée (en hauteur, désincarcération, etc.).</w:t>
      </w:r>
    </w:p>
    <w:p w14:paraId="00000125" w14:textId="77777777" w:rsidR="006B1DB6" w:rsidRDefault="00844031" w:rsidP="00824DE0">
      <w:pPr>
        <w:spacing w:before="120"/>
        <w:jc w:val="both"/>
      </w:pPr>
      <w:r>
        <w:t xml:space="preserve">Dans tous les cas, les procédures adaptées selon les tâches, pour chacun des types d’espaces clos ou avec accès restreint, sont validées par le comité de travail paritaire et bonifiées s’il y a lieu. Enfin, les procédures sont approuvées par la direction. </w:t>
      </w:r>
    </w:p>
    <w:p w14:paraId="00000126" w14:textId="77777777" w:rsidR="006B1DB6" w:rsidRDefault="006B1DB6" w:rsidP="00824DE0">
      <w:pPr>
        <w:pBdr>
          <w:top w:val="nil"/>
          <w:left w:val="nil"/>
          <w:bottom w:val="nil"/>
          <w:right w:val="nil"/>
          <w:between w:val="nil"/>
        </w:pBdr>
        <w:ind w:left="864"/>
        <w:jc w:val="both"/>
        <w:rPr>
          <w:color w:val="000000"/>
        </w:rPr>
      </w:pPr>
    </w:p>
    <w:p w14:paraId="39C958ED" w14:textId="77777777" w:rsidR="00824DE0" w:rsidRDefault="00824DE0">
      <w:pPr>
        <w:rPr>
          <w:rFonts w:asciiTheme="minorHAnsi" w:eastAsiaTheme="minorHAnsi" w:hAnsiTheme="minorHAnsi" w:cstheme="minorHAnsi"/>
          <w:b/>
          <w:bCs/>
          <w:caps/>
          <w:color w:val="243A68" w:themeColor="text2"/>
          <w:sz w:val="30"/>
          <w:szCs w:val="30"/>
        </w:rPr>
      </w:pPr>
      <w:r>
        <w:br w:type="page"/>
      </w:r>
    </w:p>
    <w:p w14:paraId="00000127" w14:textId="4F7E427B" w:rsidR="006B1DB6" w:rsidRDefault="00844031" w:rsidP="00F4051F">
      <w:pPr>
        <w:pStyle w:val="Titre1"/>
        <w:numPr>
          <w:ilvl w:val="0"/>
          <w:numId w:val="22"/>
        </w:numPr>
        <w:ind w:left="360" w:hanging="360"/>
        <w:jc w:val="both"/>
      </w:pPr>
      <w:bookmarkStart w:id="21" w:name="_Toc143845842"/>
      <w:r>
        <w:lastRenderedPageBreak/>
        <w:t>Plan de sauvetage</w:t>
      </w:r>
      <w:bookmarkEnd w:id="21"/>
    </w:p>
    <w:p w14:paraId="00000128" w14:textId="77777777" w:rsidR="006B1DB6" w:rsidRDefault="00844031" w:rsidP="00824DE0">
      <w:pPr>
        <w:spacing w:before="120"/>
        <w:jc w:val="both"/>
      </w:pPr>
      <w:r>
        <w:t xml:space="preserve">Le sauvetage en espace clos s’avère parfois très complexe et le délai d'intervention peut </w:t>
      </w:r>
      <w:proofErr w:type="gramStart"/>
      <w:r>
        <w:t>avoir</w:t>
      </w:r>
      <w:proofErr w:type="gramEnd"/>
      <w:r>
        <w:t xml:space="preserve"> une influence sur l'état des victimes. Dans ce contexte, chaque seconde compte et il n’y a pas de place pour l’improvisation. Il est donc essentiel qu’un plan de sauvetage soit établi à l’avance afin de permettre une intervention rapide et bien structurée. Pour vous aider, vous pouvez vous référer à la fiche « Plan de sauvetage ».</w:t>
      </w:r>
    </w:p>
    <w:p w14:paraId="00000129" w14:textId="77777777" w:rsidR="006B1DB6" w:rsidRDefault="006B1DB6" w:rsidP="00824DE0">
      <w:pPr>
        <w:jc w:val="both"/>
      </w:pPr>
    </w:p>
    <w:p w14:paraId="0000012A" w14:textId="77777777" w:rsidR="006B1DB6" w:rsidRDefault="00844031" w:rsidP="00824DE0">
      <w:pPr>
        <w:pStyle w:val="Titre2"/>
        <w:jc w:val="both"/>
      </w:pPr>
      <w:bookmarkStart w:id="22" w:name="_Toc143845843"/>
      <w:r>
        <w:t>8.1</w:t>
      </w:r>
      <w:r>
        <w:tab/>
        <w:t>rédiger/mettre à jour le plan de sauvetage</w:t>
      </w:r>
      <w:bookmarkEnd w:id="22"/>
    </w:p>
    <w:p w14:paraId="0000012B" w14:textId="12B9D918" w:rsidR="006B1DB6" w:rsidRDefault="00844031" w:rsidP="00824DE0">
      <w:pPr>
        <w:jc w:val="both"/>
      </w:pPr>
      <w:bookmarkStart w:id="23" w:name="_heading=h.1ci93xb" w:colFirst="0" w:colLast="0"/>
      <w:bookmarkEnd w:id="23"/>
      <w:r>
        <w:t xml:space="preserve">Le RSST </w:t>
      </w:r>
      <w:r w:rsidRPr="00F77D43">
        <w:t>précise</w:t>
      </w:r>
      <w:sdt>
        <w:sdtPr>
          <w:tag w:val="goog_rdk_17"/>
          <w:id w:val="661746197"/>
        </w:sdtPr>
        <w:sdtContent/>
      </w:sdt>
      <w:r w:rsidRPr="00F77D43">
        <w:t xml:space="preserve"> à l’article</w:t>
      </w:r>
      <w:r w:rsidR="00F77D43" w:rsidRPr="00F77D43">
        <w:t xml:space="preserve"> 309</w:t>
      </w:r>
      <w:r w:rsidRPr="00F77D43">
        <w:t> :</w:t>
      </w:r>
    </w:p>
    <w:p w14:paraId="0000012C" w14:textId="77777777" w:rsidR="006B1DB6" w:rsidRDefault="00844031" w:rsidP="00824DE0">
      <w:pPr>
        <w:spacing w:before="120"/>
        <w:ind w:left="706"/>
        <w:jc w:val="both"/>
        <w:rPr>
          <w:i/>
        </w:rPr>
      </w:pPr>
      <w:r>
        <w:rPr>
          <w:i/>
        </w:rPr>
        <w:t>«</w:t>
      </w:r>
      <w:r>
        <w:rPr>
          <w:b/>
          <w:i/>
        </w:rPr>
        <w:t xml:space="preserve"> 309. Plan de sauvetage :</w:t>
      </w:r>
      <w:r>
        <w:rPr>
          <w:i/>
        </w:rPr>
        <w:t xml:space="preserve"> Un plan de sauvetage, lequel inclut les équipements et les moyens pour secourir rapidement tout travailleur effectuant un travail dans un espace clos, doit être élaboré.</w:t>
      </w:r>
    </w:p>
    <w:p w14:paraId="0000012D" w14:textId="77777777" w:rsidR="006B1DB6" w:rsidRDefault="00844031" w:rsidP="00824DE0">
      <w:pPr>
        <w:spacing w:before="120"/>
        <w:ind w:left="708"/>
        <w:jc w:val="both"/>
        <w:rPr>
          <w:i/>
        </w:rPr>
      </w:pPr>
      <w:r>
        <w:rPr>
          <w:i/>
        </w:rPr>
        <w:t>Les équipements requis par un plan de sauvetage ainsi que leurs accessoires, le cas échéant, doivent être :</w:t>
      </w:r>
    </w:p>
    <w:p w14:paraId="0000012E" w14:textId="77777777" w:rsidR="006B1DB6" w:rsidRDefault="00844031" w:rsidP="00824DE0">
      <w:pPr>
        <w:ind w:left="708"/>
        <w:jc w:val="both"/>
        <w:rPr>
          <w:i/>
        </w:rPr>
      </w:pPr>
      <w:r>
        <w:rPr>
          <w:i/>
        </w:rPr>
        <w:t>1° adaptés à l’utilisation prévue, aux conditions spécifiques des travaux et de l’espace clos;</w:t>
      </w:r>
    </w:p>
    <w:p w14:paraId="0000012F" w14:textId="77777777" w:rsidR="006B1DB6" w:rsidRDefault="00844031" w:rsidP="00824DE0">
      <w:pPr>
        <w:ind w:left="708"/>
        <w:jc w:val="both"/>
        <w:rPr>
          <w:i/>
        </w:rPr>
      </w:pPr>
      <w:r>
        <w:rPr>
          <w:i/>
        </w:rPr>
        <w:t>2° vérifiés et maintenus en bon état;</w:t>
      </w:r>
    </w:p>
    <w:p w14:paraId="00000130" w14:textId="77777777" w:rsidR="006B1DB6" w:rsidRDefault="00844031" w:rsidP="00824DE0">
      <w:pPr>
        <w:ind w:left="708"/>
        <w:jc w:val="both"/>
        <w:rPr>
          <w:i/>
        </w:rPr>
      </w:pPr>
      <w:r>
        <w:rPr>
          <w:i/>
        </w:rPr>
        <w:t>3° présents et facilement accessibles à proximité de l’espace clos en vue d’une intervention rapide.</w:t>
      </w:r>
    </w:p>
    <w:p w14:paraId="00000131" w14:textId="77777777" w:rsidR="006B1DB6" w:rsidRDefault="00844031" w:rsidP="00824DE0">
      <w:pPr>
        <w:spacing w:before="120"/>
        <w:ind w:left="708"/>
        <w:jc w:val="both"/>
        <w:rPr>
          <w:i/>
        </w:rPr>
      </w:pPr>
      <w:r>
        <w:rPr>
          <w:i/>
        </w:rPr>
        <w:t>Le plan de sauvetage doit inclure un protocole d’appel et de communication pour déclencher les opérations de sauvetage. De plus, une personne doit y être nommément désignée pour diriger les opérations de sauvetage. »</w:t>
      </w:r>
    </w:p>
    <w:p w14:paraId="00000132" w14:textId="6327078E" w:rsidR="006B1DB6" w:rsidRDefault="00844031" w:rsidP="00824DE0">
      <w:pPr>
        <w:spacing w:before="120"/>
        <w:jc w:val="both"/>
      </w:pPr>
      <w:r>
        <w:t>Par conséquent, un plan de sauvetage doit être adapté à chaque type d’espaces clos. En effet, la configuration de certains types d’espaces clos permet d’effectuer un sauvetage externe (à partir de l’extérieur) grâce à des équipements de récupération</w:t>
      </w:r>
      <w:r w:rsidR="00A30C23">
        <w:t> :</w:t>
      </w:r>
      <w:r>
        <w:t xml:space="preserve"> perche, longe en « Y », </w:t>
      </w:r>
      <w:r w:rsidRPr="00FE4E4C">
        <w:t>dispositif antichute 3 fonctions (antichute, ligne de vie et récupération d’urgence), treuil, etc.</w:t>
      </w:r>
      <w:r>
        <w:t xml:space="preserve"> </w:t>
      </w:r>
      <w:r w:rsidR="00FE4E4C">
        <w:t>A</w:t>
      </w:r>
      <w:r>
        <w:t>lors que d’autres nécessiteront un sauvetage interne à l’horizontale ou à la verticale, avec une équipe de sauveteuses et de sauveteurs spécialisés. Avant d’effectuer les travaux, il sera donc important de déterminer :</w:t>
      </w:r>
    </w:p>
    <w:p w14:paraId="00000133" w14:textId="6238C004" w:rsidR="006B1DB6" w:rsidRPr="00536C8B" w:rsidRDefault="00844031" w:rsidP="00824DE0">
      <w:pPr>
        <w:numPr>
          <w:ilvl w:val="0"/>
          <w:numId w:val="10"/>
        </w:numPr>
        <w:pBdr>
          <w:top w:val="nil"/>
          <w:left w:val="nil"/>
          <w:bottom w:val="nil"/>
          <w:right w:val="nil"/>
          <w:between w:val="nil"/>
        </w:pBdr>
        <w:jc w:val="both"/>
        <w:rPr>
          <w:color w:val="000000"/>
        </w:rPr>
      </w:pPr>
      <w:proofErr w:type="gramStart"/>
      <w:r>
        <w:rPr>
          <w:color w:val="000000"/>
        </w:rPr>
        <w:t>le</w:t>
      </w:r>
      <w:proofErr w:type="gramEnd"/>
      <w:r>
        <w:rPr>
          <w:color w:val="000000"/>
        </w:rPr>
        <w:t xml:space="preserve"> type de sauvetage selon la tâche à </w:t>
      </w:r>
      <w:r w:rsidRPr="00536C8B">
        <w:rPr>
          <w:color w:val="000000"/>
        </w:rPr>
        <w:t xml:space="preserve">effectuer </w:t>
      </w:r>
      <w:sdt>
        <w:sdtPr>
          <w:tag w:val="goog_rdk_19"/>
          <w:id w:val="-1288883653"/>
        </w:sdtPr>
        <w:sdtContent/>
      </w:sdt>
      <w:r w:rsidR="00536C8B" w:rsidRPr="00536C8B">
        <w:rPr>
          <w:color w:val="000000"/>
        </w:rPr>
        <w:t>dans</w:t>
      </w:r>
      <w:r w:rsidRPr="00536C8B">
        <w:rPr>
          <w:color w:val="000000"/>
        </w:rPr>
        <w:t xml:space="preserve"> cet espace clos;</w:t>
      </w:r>
    </w:p>
    <w:p w14:paraId="00000134" w14:textId="77777777" w:rsidR="006B1DB6" w:rsidRPr="00536C8B" w:rsidRDefault="00844031" w:rsidP="00824DE0">
      <w:pPr>
        <w:numPr>
          <w:ilvl w:val="0"/>
          <w:numId w:val="10"/>
        </w:numPr>
        <w:pBdr>
          <w:top w:val="nil"/>
          <w:left w:val="nil"/>
          <w:bottom w:val="nil"/>
          <w:right w:val="nil"/>
          <w:between w:val="nil"/>
        </w:pBdr>
        <w:jc w:val="both"/>
        <w:rPr>
          <w:color w:val="000000"/>
        </w:rPr>
      </w:pPr>
      <w:proofErr w:type="gramStart"/>
      <w:r w:rsidRPr="00536C8B">
        <w:rPr>
          <w:color w:val="000000"/>
        </w:rPr>
        <w:t>la</w:t>
      </w:r>
      <w:proofErr w:type="gramEnd"/>
      <w:r w:rsidRPr="00536C8B">
        <w:rPr>
          <w:color w:val="000000"/>
        </w:rPr>
        <w:t xml:space="preserve"> personne désignée pour diriger les opérations de sauvetage;</w:t>
      </w:r>
    </w:p>
    <w:p w14:paraId="00000135" w14:textId="77777777" w:rsidR="006B1DB6" w:rsidRDefault="00844031" w:rsidP="00824DE0">
      <w:pPr>
        <w:numPr>
          <w:ilvl w:val="0"/>
          <w:numId w:val="10"/>
        </w:numPr>
        <w:pBdr>
          <w:top w:val="nil"/>
          <w:left w:val="nil"/>
          <w:bottom w:val="nil"/>
          <w:right w:val="nil"/>
          <w:between w:val="nil"/>
        </w:pBdr>
        <w:jc w:val="both"/>
        <w:rPr>
          <w:color w:val="000000"/>
        </w:rPr>
      </w:pPr>
      <w:proofErr w:type="gramStart"/>
      <w:r>
        <w:rPr>
          <w:color w:val="000000"/>
        </w:rPr>
        <w:t>l’équipe</w:t>
      </w:r>
      <w:proofErr w:type="gramEnd"/>
      <w:r>
        <w:rPr>
          <w:color w:val="000000"/>
        </w:rPr>
        <w:t xml:space="preserve"> de travailleuses et de travailleurs qui seront affectés aux opérations de sauvetage de l’organisation ou d’une firme spécialisée. </w:t>
      </w:r>
    </w:p>
    <w:p w14:paraId="00000136" w14:textId="77777777" w:rsidR="006B1DB6" w:rsidRDefault="00844031" w:rsidP="00824DE0">
      <w:pPr>
        <w:pBdr>
          <w:top w:val="nil"/>
          <w:left w:val="nil"/>
          <w:bottom w:val="nil"/>
          <w:right w:val="nil"/>
          <w:between w:val="nil"/>
        </w:pBdr>
        <w:spacing w:after="240"/>
        <w:jc w:val="both"/>
        <w:rPr>
          <w:color w:val="000000"/>
        </w:rPr>
      </w:pPr>
      <w:r>
        <w:rPr>
          <w:color w:val="000000"/>
        </w:rPr>
        <w:t xml:space="preserve">Dans le cas où l’organisation fait appel à des ressources externes, celles-ci doivent être sollicitées à l’avance afin de leur permettre de planifier adéquatement le plan de </w:t>
      </w:r>
      <w:r w:rsidRPr="0078141B">
        <w:rPr>
          <w:color w:val="000000"/>
        </w:rPr>
        <w:t>sauvetage et les procédures appropriées pour s’assurer qu’elles sont adaptées à la situation de travail.</w:t>
      </w:r>
    </w:p>
    <w:p w14:paraId="00000137" w14:textId="77777777" w:rsidR="006B1DB6" w:rsidRDefault="00844031" w:rsidP="00824DE0">
      <w:pPr>
        <w:pStyle w:val="Titre2"/>
        <w:jc w:val="both"/>
      </w:pPr>
      <w:bookmarkStart w:id="24" w:name="_Toc143845844"/>
      <w:r>
        <w:t>8.2</w:t>
      </w:r>
      <w:r>
        <w:tab/>
        <w:t>Élaborer/mettre à jour la formation</w:t>
      </w:r>
      <w:bookmarkEnd w:id="24"/>
    </w:p>
    <w:p w14:paraId="00000138" w14:textId="77777777" w:rsidR="006B1DB6" w:rsidRDefault="00844031" w:rsidP="00824DE0">
      <w:pPr>
        <w:jc w:val="both"/>
      </w:pPr>
      <w:r>
        <w:t xml:space="preserve">Comme indiqué précédemment, les travailleuses et les travailleurs affectés à l’application des procédures de sauvetage doivent avoir reçu une formation élaborée par une </w:t>
      </w:r>
      <w:r>
        <w:rPr>
          <w:b/>
        </w:rPr>
        <w:t>personne qualifiée</w:t>
      </w:r>
      <w:r>
        <w:t>, incluant les techniques visant à éviter de mettre leur sécurité et celle des autres travailleuses et travailleurs en danger. </w:t>
      </w:r>
    </w:p>
    <w:p w14:paraId="00000139" w14:textId="77777777" w:rsidR="006B1DB6" w:rsidRDefault="006B1DB6" w:rsidP="00824DE0">
      <w:pPr>
        <w:jc w:val="both"/>
      </w:pPr>
    </w:p>
    <w:p w14:paraId="572E6364" w14:textId="77777777" w:rsidR="00824DE0" w:rsidRDefault="00824DE0">
      <w:pPr>
        <w:rPr>
          <w:rFonts w:eastAsiaTheme="majorEastAsia" w:cstheme="majorBidi"/>
          <w:b/>
          <w:caps/>
          <w:color w:val="5A5E5F"/>
          <w:sz w:val="26"/>
          <w:szCs w:val="26"/>
        </w:rPr>
      </w:pPr>
      <w:r>
        <w:br w:type="page"/>
      </w:r>
    </w:p>
    <w:p w14:paraId="0000013A" w14:textId="7C6559AE" w:rsidR="006B1DB6" w:rsidRDefault="00844031" w:rsidP="00824DE0">
      <w:pPr>
        <w:pStyle w:val="Titre2"/>
        <w:jc w:val="both"/>
      </w:pPr>
      <w:bookmarkStart w:id="25" w:name="_Toc143845845"/>
      <w:r>
        <w:lastRenderedPageBreak/>
        <w:t>8.3</w:t>
      </w:r>
      <w:r>
        <w:tab/>
        <w:t>Éprouver le plan de sauvetage</w:t>
      </w:r>
      <w:bookmarkEnd w:id="25"/>
    </w:p>
    <w:p w14:paraId="0000013B" w14:textId="77777777" w:rsidR="006B1DB6" w:rsidRDefault="00844031" w:rsidP="00824DE0">
      <w:pPr>
        <w:jc w:val="both"/>
      </w:pPr>
      <w:r>
        <w:t>Pour se familiariser avec le plan de sauvetage et démontrer qu’il est efficace et fonctionnel, il est important que la personne désignée pour diriger les opérations ainsi que les travailleuses et les travailleurs affectés à l’application de celui-ci mettent en pratique :</w:t>
      </w:r>
    </w:p>
    <w:p w14:paraId="0000013C" w14:textId="77777777" w:rsidR="006B1DB6" w:rsidRDefault="00844031" w:rsidP="00824DE0">
      <w:pPr>
        <w:numPr>
          <w:ilvl w:val="0"/>
          <w:numId w:val="28"/>
        </w:numPr>
        <w:pBdr>
          <w:top w:val="nil"/>
          <w:left w:val="nil"/>
          <w:bottom w:val="nil"/>
          <w:right w:val="nil"/>
          <w:between w:val="nil"/>
        </w:pBdr>
        <w:jc w:val="both"/>
        <w:rPr>
          <w:color w:val="000000"/>
        </w:rPr>
      </w:pPr>
      <w:proofErr w:type="gramStart"/>
      <w:r>
        <w:rPr>
          <w:color w:val="000000"/>
        </w:rPr>
        <w:t>le</w:t>
      </w:r>
      <w:proofErr w:type="gramEnd"/>
      <w:r>
        <w:rPr>
          <w:color w:val="000000"/>
        </w:rPr>
        <w:t xml:space="preserve"> protocole d’appel et de communication;</w:t>
      </w:r>
    </w:p>
    <w:p w14:paraId="0000013D" w14:textId="77777777" w:rsidR="006B1DB6" w:rsidRDefault="00844031" w:rsidP="00824DE0">
      <w:pPr>
        <w:numPr>
          <w:ilvl w:val="0"/>
          <w:numId w:val="28"/>
        </w:numPr>
        <w:pBdr>
          <w:top w:val="nil"/>
          <w:left w:val="nil"/>
          <w:bottom w:val="nil"/>
          <w:right w:val="nil"/>
          <w:between w:val="nil"/>
        </w:pBdr>
        <w:jc w:val="both"/>
        <w:rPr>
          <w:color w:val="000000"/>
        </w:rPr>
      </w:pPr>
      <w:proofErr w:type="gramStart"/>
      <w:r>
        <w:rPr>
          <w:color w:val="000000"/>
        </w:rPr>
        <w:t>l’utilisation</w:t>
      </w:r>
      <w:proofErr w:type="gramEnd"/>
      <w:r>
        <w:rPr>
          <w:color w:val="000000"/>
        </w:rPr>
        <w:t xml:space="preserve"> des équipements et des moyens pour secourir rapidement une travailleuse ou un travailleur.</w:t>
      </w:r>
    </w:p>
    <w:p w14:paraId="0000013E" w14:textId="77777777" w:rsidR="006B1DB6" w:rsidRDefault="00844031" w:rsidP="00824DE0">
      <w:pPr>
        <w:spacing w:before="120"/>
        <w:jc w:val="both"/>
      </w:pPr>
      <w:r>
        <w:t>Afin de s’assurer que les travailleuses et les travailleurs concernés demeurent familiers avec les procédures de sauvetage, et ce tel que précisé à l’article 309, des exercices devraient être effectués :</w:t>
      </w:r>
    </w:p>
    <w:p w14:paraId="0000013F" w14:textId="77777777" w:rsidR="006B1DB6" w:rsidRDefault="00844031" w:rsidP="00824DE0">
      <w:pPr>
        <w:numPr>
          <w:ilvl w:val="0"/>
          <w:numId w:val="25"/>
        </w:numPr>
        <w:spacing w:before="120"/>
        <w:jc w:val="both"/>
      </w:pPr>
      <w:proofErr w:type="gramStart"/>
      <w:r>
        <w:t>minimalement</w:t>
      </w:r>
      <w:proofErr w:type="gramEnd"/>
      <w:r>
        <w:t xml:space="preserve"> une fois par année, lorsque les travaux en espaces clos y sont fréquents;</w:t>
      </w:r>
    </w:p>
    <w:p w14:paraId="00000140" w14:textId="77777777" w:rsidR="006B1DB6" w:rsidRDefault="00844031" w:rsidP="00824DE0">
      <w:pPr>
        <w:numPr>
          <w:ilvl w:val="0"/>
          <w:numId w:val="25"/>
        </w:numPr>
        <w:jc w:val="both"/>
      </w:pPr>
      <w:proofErr w:type="gramStart"/>
      <w:r>
        <w:t>peu</w:t>
      </w:r>
      <w:proofErr w:type="gramEnd"/>
      <w:r>
        <w:t xml:space="preserve"> de temps avant l’intervention, si les interventions y sont très rares.</w:t>
      </w:r>
    </w:p>
    <w:p w14:paraId="00000141" w14:textId="77777777" w:rsidR="006B1DB6" w:rsidRDefault="006B1DB6" w:rsidP="00824DE0">
      <w:pPr>
        <w:jc w:val="both"/>
      </w:pPr>
    </w:p>
    <w:p w14:paraId="00000142" w14:textId="77777777" w:rsidR="006B1DB6" w:rsidRDefault="00844031" w:rsidP="00824DE0">
      <w:pPr>
        <w:pStyle w:val="Titre2"/>
        <w:jc w:val="both"/>
      </w:pPr>
      <w:bookmarkStart w:id="26" w:name="_Toc143845846"/>
      <w:r>
        <w:t>8.4</w:t>
      </w:r>
      <w:r>
        <w:tab/>
        <w:t>Élaborer/mettre à jour les autres procédures d’urgence</w:t>
      </w:r>
      <w:bookmarkEnd w:id="26"/>
    </w:p>
    <w:p w14:paraId="00000143" w14:textId="77777777" w:rsidR="006B1DB6" w:rsidRDefault="00844031" w:rsidP="00824DE0">
      <w:pPr>
        <w:jc w:val="both"/>
      </w:pPr>
      <w:r>
        <w:t xml:space="preserve">Malgré le fait que certains travaux s’effectuent à l’extérieur d’un espace clos ou encore dans un espace avec accès restreint, les travailleuses et les travailleurs peuvent tout de même être exposés à d’autres risques qui peuvent engendrer des accidents de travail. Par conséquent, il faut prévoir les procédures pour assurer les premiers secours et dans certains cas, les procédures pour un sauvetage spécialisé (en hauteur, désincarcération, etc.). Il faut également prévoir un protocole de communication pour l’établissement ou l’infrastructure qui soit adapté à la situation de travail (ex.: RSST, art. </w:t>
      </w:r>
      <w:hyperlink r:id="rId21" w:anchor="20230711">
        <w:r>
          <w:t>322</w:t>
        </w:r>
      </w:hyperlink>
      <w:r>
        <w:t xml:space="preserve"> – Travaux dans un lieu isolé). </w:t>
      </w:r>
    </w:p>
    <w:p w14:paraId="00000144" w14:textId="77777777" w:rsidR="006B1DB6" w:rsidRDefault="00844031" w:rsidP="00824DE0">
      <w:pPr>
        <w:jc w:val="both"/>
      </w:pPr>
      <w:r>
        <w:t>En voici quelques exemples :</w:t>
      </w:r>
    </w:p>
    <w:p w14:paraId="00000145" w14:textId="77777777" w:rsidR="006B1DB6" w:rsidRDefault="00844031" w:rsidP="00824DE0">
      <w:pPr>
        <w:numPr>
          <w:ilvl w:val="1"/>
          <w:numId w:val="8"/>
        </w:numPr>
        <w:pBdr>
          <w:top w:val="nil"/>
          <w:left w:val="nil"/>
          <w:bottom w:val="nil"/>
          <w:right w:val="nil"/>
          <w:between w:val="nil"/>
        </w:pBdr>
        <w:ind w:left="720"/>
        <w:jc w:val="both"/>
      </w:pPr>
      <w:r>
        <w:rPr>
          <w:rFonts w:eastAsia="Calibri"/>
          <w:color w:val="000000"/>
        </w:rPr>
        <w:t xml:space="preserve">Situations d’urgence : </w:t>
      </w:r>
    </w:p>
    <w:p w14:paraId="00000146" w14:textId="2655CC82" w:rsidR="006B1DB6" w:rsidRDefault="00844031" w:rsidP="00824DE0">
      <w:pPr>
        <w:numPr>
          <w:ilvl w:val="1"/>
          <w:numId w:val="11"/>
        </w:numPr>
        <w:pBdr>
          <w:top w:val="nil"/>
          <w:left w:val="nil"/>
          <w:bottom w:val="nil"/>
          <w:right w:val="nil"/>
          <w:between w:val="nil"/>
        </w:pBdr>
        <w:jc w:val="both"/>
      </w:pPr>
      <w:proofErr w:type="gramStart"/>
      <w:r>
        <w:rPr>
          <w:rFonts w:eastAsia="Calibri"/>
          <w:color w:val="000000"/>
        </w:rPr>
        <w:t>alarmes</w:t>
      </w:r>
      <w:proofErr w:type="gramEnd"/>
      <w:r>
        <w:rPr>
          <w:rFonts w:eastAsia="Calibri"/>
          <w:color w:val="000000"/>
        </w:rPr>
        <w:t xml:space="preserve"> du/des détecteur(s) indiquant une atmosphère anormale ou potentiellement dangereuse dans un espace clos;  </w:t>
      </w:r>
    </w:p>
    <w:p w14:paraId="00000147" w14:textId="77777777" w:rsidR="006B1DB6" w:rsidRDefault="00844031" w:rsidP="00824DE0">
      <w:pPr>
        <w:numPr>
          <w:ilvl w:val="1"/>
          <w:numId w:val="11"/>
        </w:numPr>
        <w:pBdr>
          <w:top w:val="nil"/>
          <w:left w:val="nil"/>
          <w:bottom w:val="nil"/>
          <w:right w:val="nil"/>
          <w:between w:val="nil"/>
        </w:pBdr>
        <w:jc w:val="both"/>
      </w:pPr>
      <w:proofErr w:type="gramStart"/>
      <w:r>
        <w:rPr>
          <w:rFonts w:eastAsia="Calibri"/>
          <w:color w:val="000000"/>
        </w:rPr>
        <w:t>un</w:t>
      </w:r>
      <w:proofErr w:type="gramEnd"/>
      <w:r>
        <w:rPr>
          <w:rFonts w:eastAsia="Calibri"/>
          <w:color w:val="000000"/>
        </w:rPr>
        <w:t xml:space="preserve"> doute sur la qualité de l’atmosphère dans un espace clos (ex. : déversement illicite)</w:t>
      </w:r>
      <w:r>
        <w:t>;</w:t>
      </w:r>
    </w:p>
    <w:p w14:paraId="00000148" w14:textId="77777777" w:rsidR="006B1DB6" w:rsidRDefault="00844031" w:rsidP="00824DE0">
      <w:pPr>
        <w:numPr>
          <w:ilvl w:val="1"/>
          <w:numId w:val="8"/>
        </w:numPr>
        <w:pBdr>
          <w:top w:val="nil"/>
          <w:left w:val="nil"/>
          <w:bottom w:val="nil"/>
          <w:right w:val="nil"/>
          <w:between w:val="nil"/>
        </w:pBdr>
        <w:spacing w:before="120"/>
        <w:ind w:left="720"/>
        <w:jc w:val="both"/>
      </w:pPr>
      <w:r>
        <w:rPr>
          <w:rFonts w:eastAsia="Calibri"/>
          <w:color w:val="000000"/>
        </w:rPr>
        <w:t>Premiers secours :</w:t>
      </w:r>
    </w:p>
    <w:p w14:paraId="00000149" w14:textId="77777777" w:rsidR="006B1DB6" w:rsidRPr="00F4051F" w:rsidRDefault="00844031" w:rsidP="00F4051F">
      <w:pPr>
        <w:numPr>
          <w:ilvl w:val="1"/>
          <w:numId w:val="34"/>
        </w:numPr>
        <w:pBdr>
          <w:top w:val="nil"/>
          <w:left w:val="nil"/>
          <w:bottom w:val="nil"/>
          <w:right w:val="nil"/>
          <w:between w:val="nil"/>
        </w:pBdr>
        <w:jc w:val="both"/>
        <w:rPr>
          <w:rFonts w:eastAsia="Calibri"/>
          <w:color w:val="000000"/>
        </w:rPr>
      </w:pPr>
      <w:proofErr w:type="gramStart"/>
      <w:r>
        <w:rPr>
          <w:rFonts w:eastAsia="Calibri"/>
          <w:color w:val="000000"/>
        </w:rPr>
        <w:t>à</w:t>
      </w:r>
      <w:proofErr w:type="gramEnd"/>
      <w:r>
        <w:rPr>
          <w:rFonts w:eastAsia="Calibri"/>
          <w:color w:val="000000"/>
        </w:rPr>
        <w:t xml:space="preserve"> partir de l’extérieur d’un espace clos;</w:t>
      </w:r>
    </w:p>
    <w:p w14:paraId="0000014A" w14:textId="77777777" w:rsidR="006B1DB6" w:rsidRDefault="00844031" w:rsidP="00F4051F">
      <w:pPr>
        <w:numPr>
          <w:ilvl w:val="1"/>
          <w:numId w:val="34"/>
        </w:numPr>
        <w:pBdr>
          <w:top w:val="nil"/>
          <w:left w:val="nil"/>
          <w:bottom w:val="nil"/>
          <w:right w:val="nil"/>
          <w:between w:val="nil"/>
        </w:pBdr>
        <w:jc w:val="both"/>
      </w:pPr>
      <w:proofErr w:type="gramStart"/>
      <w:r>
        <w:rPr>
          <w:rFonts w:eastAsia="Calibri"/>
          <w:color w:val="000000"/>
        </w:rPr>
        <w:t>dans</w:t>
      </w:r>
      <w:proofErr w:type="gramEnd"/>
      <w:r>
        <w:rPr>
          <w:rFonts w:eastAsia="Calibri"/>
          <w:color w:val="000000"/>
        </w:rPr>
        <w:t xml:space="preserve"> un espace avec accès </w:t>
      </w:r>
      <w:r>
        <w:t>restreint</w:t>
      </w:r>
      <w:r>
        <w:rPr>
          <w:rFonts w:eastAsia="Calibri"/>
          <w:color w:val="000000"/>
        </w:rPr>
        <w:t xml:space="preserve"> ou de l’extérieur de celui-ci</w:t>
      </w:r>
      <w:r>
        <w:t>;</w:t>
      </w:r>
    </w:p>
    <w:p w14:paraId="0000014B" w14:textId="77777777" w:rsidR="006B1DB6" w:rsidRDefault="00844031" w:rsidP="00824DE0">
      <w:pPr>
        <w:numPr>
          <w:ilvl w:val="1"/>
          <w:numId w:val="8"/>
        </w:numPr>
        <w:pBdr>
          <w:top w:val="nil"/>
          <w:left w:val="nil"/>
          <w:bottom w:val="nil"/>
          <w:right w:val="nil"/>
          <w:between w:val="nil"/>
        </w:pBdr>
        <w:spacing w:before="120"/>
        <w:ind w:left="720"/>
        <w:jc w:val="both"/>
      </w:pPr>
      <w:r>
        <w:rPr>
          <w:rFonts w:eastAsia="Calibri"/>
          <w:color w:val="000000"/>
        </w:rPr>
        <w:t>Sauvetages à l’extérieur comme à l’intérieur d’un espace avec accès restreint, sans risques atmosphériques, d’ensevelissement ou de noyade, comme :</w:t>
      </w:r>
    </w:p>
    <w:p w14:paraId="0000014C" w14:textId="77777777" w:rsidR="006B1DB6" w:rsidRPr="00F4051F" w:rsidRDefault="00844031" w:rsidP="00F4051F">
      <w:pPr>
        <w:numPr>
          <w:ilvl w:val="2"/>
          <w:numId w:val="33"/>
        </w:numPr>
        <w:pBdr>
          <w:top w:val="nil"/>
          <w:left w:val="nil"/>
          <w:bottom w:val="nil"/>
          <w:right w:val="nil"/>
          <w:between w:val="nil"/>
        </w:pBdr>
        <w:ind w:left="1080"/>
        <w:jc w:val="both"/>
        <w:rPr>
          <w:rFonts w:eastAsia="Calibri"/>
          <w:color w:val="000000"/>
        </w:rPr>
      </w:pPr>
      <w:proofErr w:type="gramStart"/>
      <w:r>
        <w:rPr>
          <w:rFonts w:eastAsia="Calibri"/>
          <w:color w:val="000000"/>
        </w:rPr>
        <w:t>une</w:t>
      </w:r>
      <w:proofErr w:type="gramEnd"/>
      <w:r>
        <w:rPr>
          <w:rFonts w:eastAsia="Calibri"/>
          <w:color w:val="000000"/>
        </w:rPr>
        <w:t xml:space="preserve"> désincarcération lourde;</w:t>
      </w:r>
    </w:p>
    <w:p w14:paraId="0000014D" w14:textId="77777777" w:rsidR="006B1DB6" w:rsidRPr="00F4051F" w:rsidRDefault="00844031" w:rsidP="00F4051F">
      <w:pPr>
        <w:numPr>
          <w:ilvl w:val="2"/>
          <w:numId w:val="33"/>
        </w:numPr>
        <w:pBdr>
          <w:top w:val="nil"/>
          <w:left w:val="nil"/>
          <w:bottom w:val="nil"/>
          <w:right w:val="nil"/>
          <w:between w:val="nil"/>
        </w:pBdr>
        <w:ind w:left="1080"/>
        <w:jc w:val="both"/>
        <w:rPr>
          <w:rFonts w:eastAsia="Calibri"/>
          <w:color w:val="000000"/>
        </w:rPr>
      </w:pPr>
      <w:proofErr w:type="gramStart"/>
      <w:r>
        <w:rPr>
          <w:rFonts w:eastAsia="Calibri"/>
          <w:color w:val="000000"/>
        </w:rPr>
        <w:t>un</w:t>
      </w:r>
      <w:proofErr w:type="gramEnd"/>
      <w:r>
        <w:rPr>
          <w:rFonts w:eastAsia="Calibri"/>
          <w:color w:val="000000"/>
        </w:rPr>
        <w:t xml:space="preserve"> sauvetage vertical;</w:t>
      </w:r>
    </w:p>
    <w:p w14:paraId="0000014E" w14:textId="77777777" w:rsidR="006B1DB6" w:rsidRPr="00F4051F" w:rsidRDefault="00844031" w:rsidP="00F4051F">
      <w:pPr>
        <w:numPr>
          <w:ilvl w:val="2"/>
          <w:numId w:val="33"/>
        </w:numPr>
        <w:pBdr>
          <w:top w:val="nil"/>
          <w:left w:val="nil"/>
          <w:bottom w:val="nil"/>
          <w:right w:val="nil"/>
          <w:between w:val="nil"/>
        </w:pBdr>
        <w:ind w:left="1080"/>
        <w:jc w:val="both"/>
        <w:rPr>
          <w:rFonts w:eastAsia="Calibri"/>
          <w:color w:val="000000"/>
        </w:rPr>
      </w:pPr>
      <w:proofErr w:type="gramStart"/>
      <w:r>
        <w:rPr>
          <w:rFonts w:eastAsia="Calibri"/>
          <w:color w:val="000000"/>
        </w:rPr>
        <w:t>un</w:t>
      </w:r>
      <w:proofErr w:type="gramEnd"/>
      <w:r>
        <w:rPr>
          <w:rFonts w:eastAsia="Calibri"/>
          <w:color w:val="000000"/>
        </w:rPr>
        <w:t xml:space="preserve"> sauvetage horizontal;</w:t>
      </w:r>
    </w:p>
    <w:p w14:paraId="0000014F" w14:textId="77777777" w:rsidR="006B1DB6" w:rsidRDefault="00844031" w:rsidP="00F4051F">
      <w:pPr>
        <w:numPr>
          <w:ilvl w:val="2"/>
          <w:numId w:val="33"/>
        </w:numPr>
        <w:pBdr>
          <w:top w:val="nil"/>
          <w:left w:val="nil"/>
          <w:bottom w:val="nil"/>
          <w:right w:val="nil"/>
          <w:between w:val="nil"/>
        </w:pBdr>
        <w:ind w:left="1080"/>
        <w:jc w:val="both"/>
      </w:pPr>
      <w:proofErr w:type="gramStart"/>
      <w:r w:rsidRPr="00F4051F">
        <w:rPr>
          <w:rFonts w:eastAsia="Calibri"/>
          <w:color w:val="000000"/>
        </w:rPr>
        <w:t>s</w:t>
      </w:r>
      <w:r>
        <w:rPr>
          <w:rFonts w:eastAsia="Calibri"/>
          <w:color w:val="000000"/>
        </w:rPr>
        <w:t>i</w:t>
      </w:r>
      <w:proofErr w:type="gramEnd"/>
      <w:r>
        <w:rPr>
          <w:rFonts w:eastAsia="Calibri"/>
          <w:color w:val="000000"/>
        </w:rPr>
        <w:t xml:space="preserve"> autre, le spécifier.</w:t>
      </w:r>
    </w:p>
    <w:p w14:paraId="00000151" w14:textId="77777777" w:rsidR="006B1DB6" w:rsidRDefault="006B1DB6" w:rsidP="00824DE0">
      <w:pPr>
        <w:jc w:val="both"/>
      </w:pPr>
    </w:p>
    <w:p w14:paraId="2903136D" w14:textId="77777777" w:rsidR="00824DE0" w:rsidRDefault="00824DE0">
      <w:pPr>
        <w:rPr>
          <w:rFonts w:asciiTheme="minorHAnsi" w:eastAsiaTheme="minorHAnsi" w:hAnsiTheme="minorHAnsi" w:cstheme="minorHAnsi"/>
          <w:b/>
          <w:bCs/>
          <w:caps/>
          <w:color w:val="243A68" w:themeColor="text2"/>
          <w:sz w:val="30"/>
          <w:szCs w:val="30"/>
        </w:rPr>
      </w:pPr>
      <w:r>
        <w:br w:type="page"/>
      </w:r>
    </w:p>
    <w:p w14:paraId="00000152" w14:textId="29A7E4D9" w:rsidR="006B1DB6" w:rsidRDefault="00844031" w:rsidP="00F4051F">
      <w:pPr>
        <w:pStyle w:val="Titre1"/>
        <w:numPr>
          <w:ilvl w:val="0"/>
          <w:numId w:val="22"/>
        </w:numPr>
        <w:ind w:left="360" w:hanging="360"/>
        <w:jc w:val="both"/>
      </w:pPr>
      <w:bookmarkStart w:id="27" w:name="_Toc143845847"/>
      <w:r>
        <w:lastRenderedPageBreak/>
        <w:t>Équipements de protection collectifs et individuels</w:t>
      </w:r>
      <w:bookmarkEnd w:id="27"/>
    </w:p>
    <w:p w14:paraId="00000153" w14:textId="77777777" w:rsidR="006B1DB6" w:rsidRDefault="00844031" w:rsidP="00824DE0">
      <w:pPr>
        <w:jc w:val="both"/>
      </w:pPr>
      <w:r>
        <w:t>L’application des procédures sécuritaires d’entrée, de travail et de sauvetage nécessite que tous les équipements nécessaires soient disponibles et en bon état.  Toujours en vertu de l’article 309, l’employeur a l’obligation de s’assurer que ces équipements sont vérifiés et maintenus en bon état et qu’ils sont présents et facilement accessibles à proximité de l’espace clos en vue d’une intervention rapide.</w:t>
      </w:r>
    </w:p>
    <w:p w14:paraId="00000154" w14:textId="77777777" w:rsidR="006B1DB6" w:rsidRDefault="00844031" w:rsidP="00824DE0">
      <w:pPr>
        <w:spacing w:before="120"/>
        <w:jc w:val="both"/>
      </w:pPr>
      <w:r>
        <w:t>La </w:t>
      </w:r>
      <w:sdt>
        <w:sdtPr>
          <w:tag w:val="goog_rdk_21"/>
          <w:id w:val="-2110182037"/>
        </w:sdtPr>
        <w:sdtContent/>
      </w:sdt>
      <w:hyperlink r:id="rId22">
        <w:r>
          <w:rPr>
            <w:color w:val="4472C4"/>
            <w:u w:val="single"/>
          </w:rPr>
          <w:t>Loi sur la santé et la sécurité du travail</w:t>
        </w:r>
      </w:hyperlink>
      <w:r>
        <w:rPr>
          <w:color w:val="4472C4"/>
        </w:rPr>
        <w:t xml:space="preserve"> </w:t>
      </w:r>
      <w:r>
        <w:t>prescrit aussi que :</w:t>
      </w:r>
    </w:p>
    <w:p w14:paraId="00000155" w14:textId="77777777" w:rsidR="006B1DB6" w:rsidRDefault="00844031" w:rsidP="00824DE0">
      <w:pPr>
        <w:tabs>
          <w:tab w:val="left" w:pos="426"/>
        </w:tabs>
        <w:ind w:left="426" w:hanging="426"/>
        <w:jc w:val="both"/>
        <w:rPr>
          <w:i/>
          <w:color w:val="000000"/>
        </w:rPr>
      </w:pPr>
      <w:r>
        <w:t xml:space="preserve">« </w:t>
      </w:r>
      <w:hyperlink r:id="rId23" w:anchor="se:51">
        <w:r>
          <w:rPr>
            <w:i/>
            <w:highlight w:val="white"/>
          </w:rPr>
          <w:t>51.</w:t>
        </w:r>
      </w:hyperlink>
      <w:r>
        <w:rPr>
          <w:i/>
        </w:rPr>
        <w:t xml:space="preserve"> : </w:t>
      </w:r>
      <w:r>
        <w:rPr>
          <w:i/>
          <w:color w:val="000000"/>
        </w:rPr>
        <w:t>L'employeur doit prendre les mesures nécessaires pour protéger la santé et assurer la sécurité et l'intégrité physique du travailleur. Il doit notamment :</w:t>
      </w:r>
    </w:p>
    <w:p w14:paraId="00000156" w14:textId="77777777" w:rsidR="006B1DB6" w:rsidRDefault="00844031" w:rsidP="00824DE0">
      <w:pPr>
        <w:jc w:val="both"/>
        <w:rPr>
          <w:i/>
          <w:color w:val="000000"/>
        </w:rPr>
      </w:pPr>
      <w:r>
        <w:rPr>
          <w:i/>
          <w:color w:val="000000"/>
        </w:rPr>
        <w:t>7° : fournir un matériel sécuritaire et assurer son maintien en bon état. »</w:t>
      </w:r>
    </w:p>
    <w:p w14:paraId="00000157" w14:textId="77777777" w:rsidR="006B1DB6" w:rsidRDefault="006B1DB6" w:rsidP="00824DE0">
      <w:pPr>
        <w:jc w:val="both"/>
        <w:rPr>
          <w:i/>
        </w:rPr>
      </w:pPr>
    </w:p>
    <w:p w14:paraId="00000158" w14:textId="77777777" w:rsidR="006B1DB6" w:rsidRDefault="00844031" w:rsidP="00824DE0">
      <w:pPr>
        <w:pStyle w:val="Titre2"/>
        <w:jc w:val="both"/>
      </w:pPr>
      <w:bookmarkStart w:id="28" w:name="_Toc143845848"/>
      <w:r>
        <w:t>9.1</w:t>
      </w:r>
      <w:r>
        <w:tab/>
        <w:t>Dresser la liste des équipements nécessaires</w:t>
      </w:r>
      <w:bookmarkEnd w:id="28"/>
    </w:p>
    <w:p w14:paraId="00000159" w14:textId="77777777" w:rsidR="006B1DB6" w:rsidRDefault="00844031" w:rsidP="00824DE0">
      <w:pPr>
        <w:jc w:val="both"/>
      </w:pPr>
      <w:r>
        <w:t xml:space="preserve">Il est de la responsabilité de la personne qualifiée d’identifier les équipements requis pour que les interventions en espace clos soient sécuritaires. </w:t>
      </w:r>
    </w:p>
    <w:p w14:paraId="0000015A" w14:textId="77777777" w:rsidR="006B1DB6" w:rsidRDefault="00844031" w:rsidP="00824DE0">
      <w:pPr>
        <w:jc w:val="both"/>
      </w:pPr>
      <w:r>
        <w:t>Consultez la « Fiche de renseignements – espace clos ou avec accès restreint » pour connaître les équipements de protection collectifs et individuels requis selon la situation de travail et la tâche à effectuer. Se référer aux procédures de sauvetage applicables pour connaître les équipements de sauvetage requis.</w:t>
      </w:r>
    </w:p>
    <w:p w14:paraId="0000015B" w14:textId="77777777" w:rsidR="006B1DB6" w:rsidRDefault="00844031" w:rsidP="00824DE0">
      <w:pPr>
        <w:spacing w:before="120"/>
        <w:jc w:val="both"/>
      </w:pPr>
      <w:r>
        <w:rPr>
          <w:b/>
        </w:rPr>
        <w:t>Spécifier les critères auxquels les équipements doivent répondre (normes, type ou modèle particulier, respect des compatibilités, etc</w:t>
      </w:r>
      <w:r w:rsidRPr="00C02574">
        <w:rPr>
          <w:b/>
        </w:rPr>
        <w:t>.) et les transmettre au Service des approvisionnements</w:t>
      </w:r>
      <w:r w:rsidRPr="00C02574">
        <w:t>.</w:t>
      </w:r>
    </w:p>
    <w:p w14:paraId="0000015C" w14:textId="5D3EDD26" w:rsidR="006B1DB6" w:rsidRDefault="00844031" w:rsidP="00824DE0">
      <w:pPr>
        <w:spacing w:before="120"/>
        <w:jc w:val="both"/>
      </w:pPr>
      <w:r>
        <w:t xml:space="preserve">Prenez en compte qu’en fonction du nombre d’espaces clos et de la fréquence d’intervention nécessaire, il peut être possible que plusieurs travaux doivent être effectués en même temps dans des espaces clos différents. Dans ce cas, il est important de s’assurer d’avoir suffisamment d’équipements disponibles pour effectuer toutes ces interventions en respectant les procédures établies. </w:t>
      </w:r>
      <w:sdt>
        <w:sdtPr>
          <w:tag w:val="goog_rdk_22"/>
          <w:id w:val="1524592746"/>
        </w:sdtPr>
        <w:sdtContent/>
      </w:sdt>
      <w:r w:rsidR="00C02574">
        <w:t>Si c’est impossible</w:t>
      </w:r>
      <w:r>
        <w:t xml:space="preserve">, les travaux devront être reportés, tant que les équipements appropriés ne seront pas disponibles et en bon état de fonctionnement. </w:t>
      </w:r>
    </w:p>
    <w:p w14:paraId="0000015D" w14:textId="77777777" w:rsidR="006B1DB6" w:rsidRDefault="00844031" w:rsidP="00824DE0">
      <w:pPr>
        <w:spacing w:before="120"/>
        <w:jc w:val="both"/>
      </w:pPr>
      <w:r>
        <w:t>Chaque établissement ou service peut posséder une liste d’équipements adaptée à ses besoins. Se référer à la « Liste des équipements requis pour les interventions sécuritaires en espaces clos ».</w:t>
      </w:r>
    </w:p>
    <w:p w14:paraId="0000015E" w14:textId="77777777" w:rsidR="006B1DB6" w:rsidRDefault="006B1DB6" w:rsidP="00824DE0">
      <w:pPr>
        <w:spacing w:before="120"/>
        <w:jc w:val="both"/>
      </w:pPr>
    </w:p>
    <w:p w14:paraId="0000015F" w14:textId="77777777" w:rsidR="006B1DB6" w:rsidRDefault="00844031" w:rsidP="00824DE0">
      <w:pPr>
        <w:pBdr>
          <w:top w:val="nil"/>
          <w:left w:val="nil"/>
          <w:bottom w:val="nil"/>
          <w:right w:val="nil"/>
          <w:between w:val="nil"/>
        </w:pBdr>
        <w:tabs>
          <w:tab w:val="left" w:pos="540"/>
        </w:tabs>
        <w:spacing w:after="120"/>
        <w:jc w:val="both"/>
        <w:rPr>
          <w:b/>
          <w:smallCaps/>
          <w:color w:val="5A5E5F"/>
          <w:sz w:val="26"/>
          <w:szCs w:val="26"/>
        </w:rPr>
      </w:pPr>
      <w:r>
        <w:rPr>
          <w:b/>
          <w:smallCaps/>
          <w:color w:val="5A5E5F"/>
          <w:sz w:val="26"/>
          <w:szCs w:val="26"/>
        </w:rPr>
        <w:t>9.2</w:t>
      </w:r>
      <w:r>
        <w:rPr>
          <w:b/>
          <w:smallCaps/>
          <w:color w:val="5A5E5F"/>
          <w:sz w:val="26"/>
          <w:szCs w:val="26"/>
        </w:rPr>
        <w:tab/>
        <w:t>INVENTAIRE DES ÉQUIPEMENTS</w:t>
      </w:r>
    </w:p>
    <w:p w14:paraId="00000160" w14:textId="77777777" w:rsidR="006B1DB6" w:rsidRDefault="00844031" w:rsidP="00824DE0">
      <w:pPr>
        <w:jc w:val="both"/>
      </w:pPr>
      <w:r>
        <w:t xml:space="preserve">Après avoir dressé la liste de tous les équipements nécessaires, répertoriez les équipements disponibles dans chacun des </w:t>
      </w:r>
      <w:r w:rsidRPr="00C02574">
        <w:t>établissements, infrastructures et véhicules de l’organisation. Cela permettra de déterminer les équipements manquants qui devront être achetés</w:t>
      </w:r>
      <w:r>
        <w:t xml:space="preserve">. </w:t>
      </w:r>
    </w:p>
    <w:p w14:paraId="00000161" w14:textId="77777777" w:rsidR="006B1DB6" w:rsidRDefault="006B1DB6" w:rsidP="00824DE0">
      <w:pPr>
        <w:jc w:val="both"/>
      </w:pPr>
    </w:p>
    <w:p w14:paraId="00000162" w14:textId="255B607A" w:rsidR="006B1DB6" w:rsidRDefault="00844031" w:rsidP="00824DE0">
      <w:pPr>
        <w:pStyle w:val="Titre2"/>
      </w:pPr>
      <w:bookmarkStart w:id="29" w:name="_Toc143845849"/>
      <w:r>
        <w:t>9.3</w:t>
      </w:r>
      <w:r>
        <w:tab/>
        <w:t xml:space="preserve">Désigner les personnes responsables </w:t>
      </w:r>
      <w:r w:rsidR="00F4051F">
        <w:br/>
      </w:r>
      <w:r>
        <w:t>de l’entretien préventif des équipements</w:t>
      </w:r>
      <w:bookmarkEnd w:id="29"/>
    </w:p>
    <w:p w14:paraId="00000163" w14:textId="77777777" w:rsidR="006B1DB6" w:rsidRDefault="00844031" w:rsidP="00824DE0">
      <w:pPr>
        <w:jc w:val="both"/>
      </w:pPr>
      <w:r>
        <w:t xml:space="preserve">Afin de s’assurer de fournir des équipements fonctionnels et en bon état, il est important que ceux-ci soient entretenus adéquatement. Une personne doit donc être désignée comme responsable du suivi, de l’entretien préventif et de la réparation de ceux-ci. Cette personne doit consulter les manuels du fabricant afin de bien connaître les équipements. Il est à noter que certains fournisseurs offrent également des formations concernant le fonctionnement et l’entretien de leur équipement. Les responsables de l’entretien auraient tout intérêt à suivre ces formations. </w:t>
      </w:r>
    </w:p>
    <w:p w14:paraId="00000164" w14:textId="64D31F6B" w:rsidR="006B1DB6" w:rsidRDefault="00844031" w:rsidP="00824DE0">
      <w:pPr>
        <w:spacing w:before="120"/>
        <w:jc w:val="both"/>
      </w:pPr>
      <w:r>
        <w:lastRenderedPageBreak/>
        <w:t>Il est également possible que la personne désignée ne possède pas les qualifications pour effectuer certaines interventions (ex.: réparation, certification, etc.). Il est donc essentiel d’identifier les</w:t>
      </w:r>
      <w:sdt>
        <w:sdtPr>
          <w:tag w:val="goog_rdk_23"/>
          <w:id w:val="-1191453260"/>
        </w:sdtPr>
        <w:sdtContent/>
      </w:sdt>
      <w:r>
        <w:t xml:space="preserve"> ressources </w:t>
      </w:r>
      <w:r w:rsidR="009411BB">
        <w:t xml:space="preserve">humaines </w:t>
      </w:r>
      <w:r>
        <w:t xml:space="preserve">qui pourront procéder à ces interventions. </w:t>
      </w:r>
    </w:p>
    <w:p w14:paraId="00000165" w14:textId="77777777" w:rsidR="006B1DB6" w:rsidRDefault="00844031" w:rsidP="00824DE0">
      <w:pPr>
        <w:spacing w:before="120"/>
        <w:jc w:val="both"/>
      </w:pPr>
      <w:r>
        <w:t xml:space="preserve">De plus, il est nécessaire de consulter la règlementation, les normes et les manuels du fabricant afin de connaître la fréquence des suivis nécessaires (ex.: calibration, certification annuelle, etc.). </w:t>
      </w:r>
    </w:p>
    <w:p w14:paraId="00000166" w14:textId="596FF55E" w:rsidR="006B1DB6" w:rsidRDefault="00844031" w:rsidP="00824DE0">
      <w:pPr>
        <w:spacing w:before="120"/>
        <w:jc w:val="both"/>
      </w:pPr>
      <w:r>
        <w:t xml:space="preserve">Nous recommandons au responsable du matériel de préparer un tableau de suivi afin de permettre de répertorier tous les équipements, de préciser le moment prévu pour effectuer les suivis ainsi que la personne responsable de ceux-ci (nom de la personne à l’interne, firme externe). Enfin, lorsque complétées, les interventions doivent être répertoriées dans un registre afin d’indiquer à quel moment précis elles ont été </w:t>
      </w:r>
      <w:r w:rsidRPr="009B210F">
        <w:t xml:space="preserve">effectuées et afin de planifier les </w:t>
      </w:r>
      <w:sdt>
        <w:sdtPr>
          <w:tag w:val="goog_rdk_24"/>
          <w:id w:val="147874082"/>
        </w:sdtPr>
        <w:sdtContent/>
      </w:sdt>
      <w:r w:rsidRPr="009B210F">
        <w:t>prochaines</w:t>
      </w:r>
      <w:r w:rsidR="009B210F" w:rsidRPr="009B210F">
        <w:t xml:space="preserve"> étapes</w:t>
      </w:r>
      <w:r w:rsidRPr="009B210F">
        <w:t>.</w:t>
      </w:r>
    </w:p>
    <w:p w14:paraId="00000167" w14:textId="77777777" w:rsidR="006B1DB6" w:rsidRDefault="006B1DB6" w:rsidP="00824DE0">
      <w:pPr>
        <w:spacing w:before="120"/>
        <w:jc w:val="both"/>
      </w:pPr>
    </w:p>
    <w:p w14:paraId="00000168" w14:textId="77777777" w:rsidR="006B1DB6" w:rsidRDefault="00844031" w:rsidP="00824DE0">
      <w:pPr>
        <w:pStyle w:val="Titre2"/>
        <w:jc w:val="both"/>
      </w:pPr>
      <w:bookmarkStart w:id="30" w:name="_Toc143845850"/>
      <w:r>
        <w:t>9.4</w:t>
      </w:r>
      <w:r>
        <w:tab/>
        <w:t>Programmer les seuils d’alarme des détecteurs de gaz</w:t>
      </w:r>
      <w:bookmarkEnd w:id="30"/>
    </w:p>
    <w:p w14:paraId="00000169" w14:textId="77777777" w:rsidR="006B1DB6" w:rsidRDefault="00844031" w:rsidP="00824DE0">
      <w:pPr>
        <w:jc w:val="both"/>
      </w:pPr>
      <w:r>
        <w:t xml:space="preserve">La règlementation prévoit des dispositions à respecter pour s’assurer que l’atmosphère d’un espace clos est sécuritaire (concentration d’oxygène, gaz inflammables, </w:t>
      </w:r>
      <w:r w:rsidRPr="009B210F">
        <w:t>contaminants susceptibles d’être présents). Il est</w:t>
      </w:r>
      <w:r>
        <w:t xml:space="preserve"> donc important d’être au fait de ces exigences règlementaires, de programmer les seuils d’alarme des détecteurs de gaz en fonction de celles-ci et de respecter les consignes du fabricant. </w:t>
      </w:r>
    </w:p>
    <w:p w14:paraId="0000016A" w14:textId="77777777" w:rsidR="006B1DB6" w:rsidRDefault="006B1DB6" w:rsidP="00824DE0">
      <w:pPr>
        <w:jc w:val="both"/>
      </w:pPr>
    </w:p>
    <w:p w14:paraId="0000016B" w14:textId="77777777" w:rsidR="006B1DB6" w:rsidRDefault="00844031" w:rsidP="00F4051F">
      <w:pPr>
        <w:pStyle w:val="Titre1"/>
        <w:numPr>
          <w:ilvl w:val="0"/>
          <w:numId w:val="22"/>
        </w:numPr>
        <w:ind w:left="450" w:hanging="450"/>
        <w:jc w:val="both"/>
      </w:pPr>
      <w:bookmarkStart w:id="31" w:name="_Toc143845851"/>
      <w:r>
        <w:t>Formation et information</w:t>
      </w:r>
      <w:bookmarkEnd w:id="31"/>
    </w:p>
    <w:p w14:paraId="0000016C" w14:textId="77777777" w:rsidR="006B1DB6" w:rsidRDefault="00844031" w:rsidP="00824DE0">
      <w:pPr>
        <w:spacing w:before="120" w:after="120"/>
        <w:jc w:val="both"/>
      </w:pPr>
      <w:r>
        <w:t>Les travailleuses et les travailleurs bien formés et informés sont davantage susceptibles de respecter les procédures sécuritaires et d’utiliser les équipements de protection collectifs et individuels appropriés pour se protéger. Ces personnes sont aussi plus susceptibles d’adopter des comportements sécuritaires lors de la réalisation de leurs tâches.</w:t>
      </w:r>
    </w:p>
    <w:p w14:paraId="0000016D" w14:textId="77777777" w:rsidR="006B1DB6" w:rsidRDefault="00844031" w:rsidP="00824DE0">
      <w:pPr>
        <w:spacing w:before="120" w:after="120"/>
        <w:jc w:val="both"/>
      </w:pPr>
      <w:r>
        <w:t>D’autre part, les gestionnaires bien formés sont plus aptes à planifier et organiser les travaux en espace clos en y intégrant toutes les procédures sécuritaires et en optimisant les mesures de prévention à mettre en place, et ce, conformément au programme de prévention spécifique aux espaces clos de leur organisation.</w:t>
      </w:r>
    </w:p>
    <w:p w14:paraId="0000016E" w14:textId="77777777" w:rsidR="006B1DB6" w:rsidRDefault="00844031" w:rsidP="00824DE0">
      <w:pPr>
        <w:spacing w:before="120" w:after="120"/>
        <w:jc w:val="both"/>
      </w:pPr>
      <w:r>
        <w:t>En vertu des</w:t>
      </w:r>
      <w:r>
        <w:rPr>
          <w:color w:val="7030A0"/>
        </w:rPr>
        <w:t xml:space="preserve"> </w:t>
      </w:r>
      <w:r>
        <w:t>articles</w:t>
      </w:r>
      <w:hyperlink r:id="rId24" w:anchor="se:10">
        <w:r>
          <w:rPr>
            <w:i/>
            <w:color w:val="0563C1"/>
          </w:rPr>
          <w:t> </w:t>
        </w:r>
      </w:hyperlink>
      <w:hyperlink r:id="rId25" w:anchor="se:10">
        <w:r>
          <w:t>10</w:t>
        </w:r>
      </w:hyperlink>
      <w:r>
        <w:rPr>
          <w:color w:val="7030A0"/>
        </w:rPr>
        <w:t xml:space="preserve"> </w:t>
      </w:r>
      <w:r>
        <w:t xml:space="preserve">et </w:t>
      </w:r>
      <w:hyperlink r:id="rId26" w:anchor="se:51">
        <w:r>
          <w:t>51.9</w:t>
        </w:r>
      </w:hyperlink>
      <w:r>
        <w:t xml:space="preserve"> de la </w:t>
      </w:r>
      <w:sdt>
        <w:sdtPr>
          <w:tag w:val="goog_rdk_25"/>
          <w:id w:val="1675307793"/>
        </w:sdtPr>
        <w:sdtContent/>
      </w:sdt>
      <w:hyperlink r:id="rId27">
        <w:r>
          <w:rPr>
            <w:color w:val="0563C1"/>
            <w:u w:val="single"/>
          </w:rPr>
          <w:t>Loi sur la santé et la sécurité du travail</w:t>
        </w:r>
      </w:hyperlink>
      <w:r>
        <w:rPr>
          <w:color w:val="7030A0"/>
        </w:rPr>
        <w:t xml:space="preserve"> </w:t>
      </w:r>
      <w:r>
        <w:t xml:space="preserve">(LSST), l’employeur doit s’assurer que les travailleuses et les travailleurs ont reçu une formation adaptée à leur milieu de travail et toutes les informations pertinentes à la sécurité et à la bonne marche des travaux. D’ailleurs, le RSST prévoit des dispositions à la formation et l’information spécifiques aux espaces </w:t>
      </w:r>
      <w:r w:rsidRPr="00032D83">
        <w:t>clos aux articles suivants :</w:t>
      </w:r>
    </w:p>
    <w:p w14:paraId="0000016F" w14:textId="77777777" w:rsidR="006B1DB6" w:rsidRDefault="00844031" w:rsidP="00824DE0">
      <w:pPr>
        <w:numPr>
          <w:ilvl w:val="0"/>
          <w:numId w:val="1"/>
        </w:numPr>
        <w:pBdr>
          <w:top w:val="nil"/>
          <w:left w:val="nil"/>
          <w:bottom w:val="nil"/>
          <w:right w:val="nil"/>
          <w:between w:val="nil"/>
        </w:pBdr>
        <w:spacing w:before="120" w:after="120"/>
        <w:jc w:val="both"/>
        <w:rPr>
          <w:rFonts w:eastAsia="Calibri"/>
          <w:i/>
          <w:color w:val="000000"/>
        </w:rPr>
      </w:pPr>
      <w:r>
        <w:rPr>
          <w:rFonts w:eastAsia="Calibri"/>
          <w:i/>
          <w:color w:val="000000"/>
        </w:rPr>
        <w:t xml:space="preserve">« </w:t>
      </w:r>
      <w:r>
        <w:rPr>
          <w:rFonts w:eastAsia="Calibri"/>
          <w:b/>
          <w:i/>
          <w:color w:val="000000"/>
        </w:rPr>
        <w:t>298.</w:t>
      </w:r>
      <w:r>
        <w:rPr>
          <w:rFonts w:eastAsia="Calibri"/>
          <w:i/>
          <w:color w:val="000000"/>
        </w:rPr>
        <w:t> </w:t>
      </w:r>
      <w:r>
        <w:rPr>
          <w:rFonts w:eastAsia="Calibri"/>
          <w:b/>
          <w:i/>
          <w:color w:val="000000"/>
        </w:rPr>
        <w:t>Travailleurs habilités </w:t>
      </w:r>
      <w:r>
        <w:rPr>
          <w:rFonts w:eastAsia="Calibri"/>
          <w:i/>
          <w:color w:val="000000"/>
        </w:rPr>
        <w:t>: seuls les travailleurs ayant les connaissances, la formation ou l’expérience requises pour effectuer un travail dans un espace clos sont habilités à y effectuer un travail. »</w:t>
      </w:r>
    </w:p>
    <w:p w14:paraId="00000170" w14:textId="77777777" w:rsidR="006B1DB6" w:rsidRDefault="00844031" w:rsidP="00824DE0">
      <w:pPr>
        <w:numPr>
          <w:ilvl w:val="0"/>
          <w:numId w:val="1"/>
        </w:numPr>
        <w:pBdr>
          <w:top w:val="nil"/>
          <w:left w:val="nil"/>
          <w:bottom w:val="nil"/>
          <w:right w:val="nil"/>
          <w:between w:val="nil"/>
        </w:pBdr>
        <w:spacing w:before="120" w:after="120"/>
        <w:jc w:val="both"/>
        <w:rPr>
          <w:rFonts w:eastAsia="Calibri"/>
          <w:i/>
          <w:color w:val="000000"/>
        </w:rPr>
      </w:pPr>
      <w:r>
        <w:rPr>
          <w:rFonts w:eastAsia="Calibri"/>
          <w:b/>
          <w:i/>
          <w:color w:val="000000"/>
        </w:rPr>
        <w:t>« 301. Information des travailleurs préalable à l’exécution d’un travail :</w:t>
      </w:r>
      <w:r>
        <w:rPr>
          <w:rFonts w:eastAsia="Calibri"/>
          <w:i/>
          <w:color w:val="000000"/>
        </w:rPr>
        <w:t xml:space="preserve"> Les renseignements visés aux paragraphes 1 à 4 du premier alinéa de l’article 300 doivent être communiqués et expliqués à tout travailleur, avant qu’il ne pénètre dans l’espace clos, par une personne qui est en mesure de l’informer adéquatement sur la façon d’y accomplir son travail de façon sécuritaire. »</w:t>
      </w:r>
    </w:p>
    <w:p w14:paraId="00000171" w14:textId="77777777" w:rsidR="006B1DB6" w:rsidRDefault="00844031" w:rsidP="00824DE0">
      <w:pPr>
        <w:numPr>
          <w:ilvl w:val="0"/>
          <w:numId w:val="1"/>
        </w:numPr>
        <w:pBdr>
          <w:top w:val="nil"/>
          <w:left w:val="nil"/>
          <w:bottom w:val="nil"/>
          <w:right w:val="nil"/>
          <w:between w:val="nil"/>
        </w:pBdr>
        <w:spacing w:before="120"/>
        <w:jc w:val="both"/>
        <w:rPr>
          <w:rFonts w:eastAsia="Calibri"/>
          <w:i/>
          <w:color w:val="000000"/>
        </w:rPr>
      </w:pPr>
      <w:r>
        <w:rPr>
          <w:rFonts w:eastAsia="Calibri"/>
          <w:b/>
          <w:i/>
          <w:color w:val="000000"/>
        </w:rPr>
        <w:t>« 309. Plan de sauvetage :</w:t>
      </w:r>
      <w:r>
        <w:rPr>
          <w:rFonts w:eastAsia="Calibri"/>
          <w:i/>
          <w:color w:val="000000"/>
        </w:rPr>
        <w:t xml:space="preserve"> [...] Les travailleurs affectés à l’application des procédures de sauvetage doivent avoir reçu une formation élaborée par une personne qualifiée, incluant les techniques visant à éviter de mettre leur sécurité et celle des autres travailleurs en danger. </w:t>
      </w:r>
    </w:p>
    <w:p w14:paraId="00000172" w14:textId="77777777" w:rsidR="006B1DB6" w:rsidRDefault="00844031" w:rsidP="00824DE0">
      <w:pPr>
        <w:pBdr>
          <w:top w:val="nil"/>
          <w:left w:val="nil"/>
          <w:bottom w:val="nil"/>
          <w:right w:val="nil"/>
          <w:between w:val="nil"/>
        </w:pBdr>
        <w:spacing w:before="60" w:after="120"/>
        <w:ind w:left="720"/>
        <w:jc w:val="both"/>
        <w:rPr>
          <w:rFonts w:eastAsia="Calibri"/>
          <w:i/>
          <w:color w:val="000000"/>
        </w:rPr>
      </w:pPr>
      <w:r>
        <w:rPr>
          <w:rFonts w:eastAsia="Calibri"/>
          <w:i/>
          <w:color w:val="000000"/>
        </w:rPr>
        <w:t>Le plan de sauvetage doit être éprouvé par des exercices permettant notamment aux travailleurs d’être familiers avec leur rôle, le protocole de communication et l’utilisation des équipements de sauvetage prévus. »</w:t>
      </w:r>
    </w:p>
    <w:p w14:paraId="00000173" w14:textId="77777777" w:rsidR="006B1DB6" w:rsidRDefault="006B1DB6" w:rsidP="00824DE0">
      <w:pPr>
        <w:jc w:val="both"/>
        <w:rPr>
          <w:b/>
          <w:color w:val="7030A0"/>
          <w:u w:val="single"/>
        </w:rPr>
      </w:pPr>
    </w:p>
    <w:p w14:paraId="00000174" w14:textId="77777777" w:rsidR="006B1DB6" w:rsidRDefault="00844031" w:rsidP="00824DE0">
      <w:pPr>
        <w:pStyle w:val="Titre2"/>
      </w:pPr>
      <w:bookmarkStart w:id="32" w:name="_Toc143845852"/>
      <w:r>
        <w:t>10.1</w:t>
      </w:r>
      <w:r>
        <w:tab/>
        <w:t>Formation des gestionnaires ainsi que des travailleuses et des travailleurs</w:t>
      </w:r>
      <w:bookmarkEnd w:id="32"/>
    </w:p>
    <w:p w14:paraId="00000175" w14:textId="77777777" w:rsidR="006B1DB6" w:rsidRDefault="00844031" w:rsidP="00824DE0">
      <w:pPr>
        <w:jc w:val="both"/>
      </w:pPr>
      <w:r>
        <w:t xml:space="preserve">Afin de s’assurer d’une bonne planification et d’un bon encadrement du travail en espace clos, il est important que les gestionnaires concernés suivent les formations leur permettant de reconnaître les </w:t>
      </w:r>
      <w:proofErr w:type="gramStart"/>
      <w:r>
        <w:t>risques potentiels</w:t>
      </w:r>
      <w:proofErr w:type="gramEnd"/>
      <w:r>
        <w:t xml:space="preserve"> auxquels les travailleuses et les travailleurs peuvent être exposés. Les gestionnaires doivent être en mesure de planifier correctement les travaux de façon que les travailleuses et les travailleurs puissent avoir tous les moyens appropriés pour y intervenir de façon sécuritaire.</w:t>
      </w:r>
    </w:p>
    <w:p w14:paraId="00000176" w14:textId="77777777" w:rsidR="006B1DB6" w:rsidRDefault="00844031" w:rsidP="00824DE0">
      <w:pPr>
        <w:spacing w:before="120"/>
        <w:jc w:val="both"/>
      </w:pPr>
      <w:r>
        <w:t xml:space="preserve">Par conséquent, les gestionnaires ainsi que les travailleuses et les travailleurs (entrants et surveillants) doivent être informés et formés sur les dangers inhérents aux espaces clos ou avec accès restreint ainsi qu’aux restrictions et mesures de prévention qui leur sont applicables. Ces personnes doivent avoir suivi des formations adaptées à leurs besoins. </w:t>
      </w:r>
    </w:p>
    <w:p w14:paraId="00000177" w14:textId="77777777" w:rsidR="006B1DB6" w:rsidRDefault="00844031" w:rsidP="00824DE0">
      <w:pPr>
        <w:spacing w:before="120"/>
        <w:jc w:val="both"/>
      </w:pPr>
      <w:r>
        <w:t xml:space="preserve">Rappelons qu’en vertu de l’article 50 de la </w:t>
      </w:r>
      <w:sdt>
        <w:sdtPr>
          <w:tag w:val="goog_rdk_26"/>
          <w:id w:val="7261277"/>
        </w:sdtPr>
        <w:sdtContent/>
      </w:sdt>
      <w:hyperlink r:id="rId28">
        <w:r>
          <w:rPr>
            <w:color w:val="0563C1"/>
            <w:u w:val="single"/>
          </w:rPr>
          <w:t>Loi sur la santé et la sécurité du travail</w:t>
        </w:r>
      </w:hyperlink>
      <w:r>
        <w:t xml:space="preserve"> (LSST), l’employeur a notamment droit à des services de formation, d’information et de conseil en matière de santé et de sécurité du travail. Nous vous invitons à prendre connaissance de la liste des formations offertes par votre ASP.</w:t>
      </w:r>
    </w:p>
    <w:p w14:paraId="00000178" w14:textId="77777777" w:rsidR="006B1DB6" w:rsidRDefault="006B1DB6" w:rsidP="00824DE0">
      <w:pPr>
        <w:jc w:val="both"/>
      </w:pPr>
    </w:p>
    <w:p w14:paraId="00000179" w14:textId="77777777" w:rsidR="006B1DB6" w:rsidRDefault="00844031" w:rsidP="00824DE0">
      <w:pPr>
        <w:pStyle w:val="Titre2"/>
      </w:pPr>
      <w:bookmarkStart w:id="33" w:name="_Toc143845853"/>
      <w:r>
        <w:t>10.2</w:t>
      </w:r>
      <w:r>
        <w:tab/>
        <w:t xml:space="preserve">Formation pour les travailleuses et les travailleurs affectés aux </w:t>
      </w:r>
      <w:r w:rsidRPr="00032D83">
        <w:t>opérations de sauvetage</w:t>
      </w:r>
      <w:bookmarkEnd w:id="33"/>
    </w:p>
    <w:p w14:paraId="0000017A" w14:textId="77777777" w:rsidR="006B1DB6" w:rsidRDefault="00844031" w:rsidP="00824DE0">
      <w:pPr>
        <w:jc w:val="both"/>
      </w:pPr>
      <w:r>
        <w:t>Comme mentionné précédemment, les travailleuses et les travailleurs affectés aux opérations de sauvetage doivent avoir reçu une formation élaborée par une personne qualifiée. Cette formation doit inclure :</w:t>
      </w:r>
    </w:p>
    <w:p w14:paraId="0000017B" w14:textId="77777777" w:rsidR="006B1DB6" w:rsidRDefault="00844031" w:rsidP="00824DE0">
      <w:pPr>
        <w:numPr>
          <w:ilvl w:val="0"/>
          <w:numId w:val="29"/>
        </w:numPr>
        <w:pBdr>
          <w:top w:val="nil"/>
          <w:left w:val="nil"/>
          <w:bottom w:val="nil"/>
          <w:right w:val="nil"/>
          <w:between w:val="nil"/>
        </w:pBdr>
        <w:spacing w:line="276" w:lineRule="auto"/>
        <w:jc w:val="both"/>
        <w:rPr>
          <w:color w:val="000000"/>
        </w:rPr>
      </w:pPr>
      <w:proofErr w:type="gramStart"/>
      <w:r>
        <w:rPr>
          <w:color w:val="000000"/>
        </w:rPr>
        <w:t>le</w:t>
      </w:r>
      <w:proofErr w:type="gramEnd"/>
      <w:r>
        <w:rPr>
          <w:color w:val="000000"/>
        </w:rPr>
        <w:t xml:space="preserve"> protocole d’appel et de communication pour déclencher les opérations de sauvetage</w:t>
      </w:r>
      <w:r>
        <w:t xml:space="preserve"> qui </w:t>
      </w:r>
      <w:r>
        <w:rPr>
          <w:color w:val="000000"/>
        </w:rPr>
        <w:t>doit être adapté à chacun des établissements et autres lieux de travail;</w:t>
      </w:r>
    </w:p>
    <w:p w14:paraId="0000017C" w14:textId="77777777" w:rsidR="006B1DB6" w:rsidRDefault="00844031" w:rsidP="00824DE0">
      <w:pPr>
        <w:numPr>
          <w:ilvl w:val="0"/>
          <w:numId w:val="29"/>
        </w:numPr>
        <w:pBdr>
          <w:top w:val="nil"/>
          <w:left w:val="nil"/>
          <w:bottom w:val="nil"/>
          <w:right w:val="nil"/>
          <w:between w:val="nil"/>
        </w:pBdr>
        <w:spacing w:line="276" w:lineRule="auto"/>
        <w:jc w:val="both"/>
        <w:rPr>
          <w:color w:val="000000"/>
        </w:rPr>
      </w:pPr>
      <w:proofErr w:type="gramStart"/>
      <w:r>
        <w:rPr>
          <w:color w:val="000000"/>
        </w:rPr>
        <w:t>les</w:t>
      </w:r>
      <w:proofErr w:type="gramEnd"/>
      <w:r>
        <w:rPr>
          <w:color w:val="000000"/>
        </w:rPr>
        <w:t xml:space="preserve"> techniques visant à éviter que ces personnes ne mettent leur sécurité et celle des autres travailleuses et travailleurs en danger, notamment par l’utilisation sécuritaire d’équipements en bon état et adaptés à l’utilisation prévue aux conditions spécifiques des travaux à chacun des espaces clos concernés</w:t>
      </w:r>
      <w:r>
        <w:t xml:space="preserve">. </w:t>
      </w:r>
    </w:p>
    <w:p w14:paraId="0000017D" w14:textId="77777777" w:rsidR="006B1DB6" w:rsidRDefault="00844031" w:rsidP="00824DE0">
      <w:pPr>
        <w:pBdr>
          <w:top w:val="nil"/>
          <w:left w:val="nil"/>
          <w:bottom w:val="nil"/>
          <w:right w:val="nil"/>
          <w:between w:val="nil"/>
        </w:pBdr>
        <w:spacing w:line="276" w:lineRule="auto"/>
        <w:jc w:val="both"/>
      </w:pPr>
      <w:r>
        <w:rPr>
          <w:b/>
        </w:rPr>
        <w:t xml:space="preserve">Note : </w:t>
      </w:r>
      <w:r>
        <w:t>ces personnes doivent aussi être des « travailleurs habilités » (art. 298, RSST) pour pouvoir y entrer.</w:t>
      </w:r>
    </w:p>
    <w:p w14:paraId="0000017E" w14:textId="2B4877A0" w:rsidR="006B1DB6" w:rsidRDefault="00844031" w:rsidP="00824DE0">
      <w:pPr>
        <w:ind w:left="50"/>
        <w:jc w:val="both"/>
      </w:pPr>
      <w:r>
        <w:t xml:space="preserve">Dans tous les cas, la formation doit tenir compte des informations contenues sur la « Fiche de renseignements » de chacun des espaces clos concernés. Sur les chantiers de construction, cette responsabilité revient au maître d’œuvre (se référer à la fiche </w:t>
      </w:r>
      <w:hyperlink r:id="rId29" w:history="1">
        <w:r w:rsidRPr="00ED5627">
          <w:rPr>
            <w:color w:val="0563C1"/>
          </w:rPr>
          <w:t>Rôles et responsabilités – espace clos</w:t>
        </w:r>
      </w:hyperlink>
      <w:r>
        <w:t>).</w:t>
      </w:r>
    </w:p>
    <w:p w14:paraId="0000017F" w14:textId="77777777" w:rsidR="006B1DB6" w:rsidRDefault="006B1DB6" w:rsidP="00824DE0">
      <w:pPr>
        <w:ind w:left="50"/>
        <w:jc w:val="both"/>
      </w:pPr>
    </w:p>
    <w:p w14:paraId="00000180" w14:textId="77777777" w:rsidR="006B1DB6" w:rsidRDefault="00844031" w:rsidP="00824DE0">
      <w:pPr>
        <w:pStyle w:val="Titre2"/>
        <w:jc w:val="both"/>
      </w:pPr>
      <w:bookmarkStart w:id="34" w:name="_Toc143845854"/>
      <w:r>
        <w:t>10.3</w:t>
      </w:r>
      <w:r>
        <w:tab/>
        <w:t>formations complémentaires aux espaces clos</w:t>
      </w:r>
      <w:bookmarkEnd w:id="34"/>
    </w:p>
    <w:p w14:paraId="00000181" w14:textId="77777777" w:rsidR="006B1DB6" w:rsidRDefault="00844031" w:rsidP="00824DE0">
      <w:pPr>
        <w:jc w:val="both"/>
        <w:rPr>
          <w:sz w:val="18"/>
          <w:szCs w:val="18"/>
        </w:rPr>
      </w:pPr>
      <w:r>
        <w:t>En plus des procédures propres aux espaces clos, il est possible que certains travaux nécessitent l’application de procédures sécuritaires de travail complémentaires en raison des risques qu’ils présentent. Il est donc très important que les travailleuses et les travailleurs qui auront à mettre en place des mesures de prévention complémentaires reçoivent les formations appropriées (ex.: cadenassage, travail à chaud, SIMDUT, signalisation).</w:t>
      </w:r>
    </w:p>
    <w:p w14:paraId="00000182" w14:textId="77777777" w:rsidR="006B1DB6" w:rsidRDefault="00844031" w:rsidP="00824DE0">
      <w:pPr>
        <w:spacing w:before="120"/>
        <w:jc w:val="both"/>
      </w:pPr>
      <w:r>
        <w:t>Nous vous invitons à prendre connaissance de la liste des formations offertes par votre ASP.</w:t>
      </w:r>
    </w:p>
    <w:p w14:paraId="00000183" w14:textId="77777777" w:rsidR="006B1DB6" w:rsidRDefault="006B1DB6" w:rsidP="00824DE0">
      <w:pPr>
        <w:jc w:val="both"/>
      </w:pPr>
    </w:p>
    <w:p w14:paraId="00000184" w14:textId="77777777" w:rsidR="006B1DB6" w:rsidRDefault="00844031" w:rsidP="00824DE0">
      <w:pPr>
        <w:pStyle w:val="Titre2"/>
        <w:jc w:val="both"/>
      </w:pPr>
      <w:bookmarkStart w:id="35" w:name="_Toc143845855"/>
      <w:r>
        <w:lastRenderedPageBreak/>
        <w:t>10.4</w:t>
      </w:r>
      <w:r>
        <w:tab/>
        <w:t>registre des formations</w:t>
      </w:r>
      <w:bookmarkEnd w:id="35"/>
    </w:p>
    <w:p w14:paraId="00000185" w14:textId="77777777" w:rsidR="006B1DB6" w:rsidRDefault="00844031" w:rsidP="00824DE0">
      <w:pPr>
        <w:jc w:val="both"/>
      </w:pPr>
      <w:r>
        <w:t xml:space="preserve">Un registre des formations doit être tenu à jour pour connaître les noms de toutes les travailleuses et de tous les travailleurs habilités, des personnes qualifiées, des personnes désignées pour diriger les opérations de sauvetage ainsi que des travailleuses et travailleurs affectés aux opérations de sauvetage, c’est-à-dire qui ont suivi les formations reconnues par votre organisation. </w:t>
      </w:r>
    </w:p>
    <w:p w14:paraId="00000186" w14:textId="1887015F" w:rsidR="006B1DB6" w:rsidRDefault="00844031" w:rsidP="00824DE0">
      <w:pPr>
        <w:spacing w:before="120"/>
        <w:jc w:val="both"/>
      </w:pPr>
      <w:r>
        <w:t xml:space="preserve">Ainsi, il </w:t>
      </w:r>
      <w:r w:rsidRPr="00032D83">
        <w:t xml:space="preserve">sera plus facile pour un nouveau gestionnaire de planifier les travaux avec </w:t>
      </w:r>
      <w:sdt>
        <w:sdtPr>
          <w:tag w:val="goog_rdk_27"/>
          <w:id w:val="-1025860587"/>
        </w:sdtPr>
        <w:sdtContent/>
      </w:sdt>
      <w:r w:rsidRPr="00032D83">
        <w:t>les personnes</w:t>
      </w:r>
      <w:r w:rsidR="00032D83" w:rsidRPr="00032D83">
        <w:t xml:space="preserve"> adéquates</w:t>
      </w:r>
      <w:r w:rsidRPr="00032D83">
        <w:t>. Ce registre permet aussi de faire le suivi des mises à jour et des formations de rappel pour garantir le maintien des compétences.</w:t>
      </w:r>
    </w:p>
    <w:p w14:paraId="00000187" w14:textId="33BF7638" w:rsidR="006B1DB6" w:rsidRDefault="00844031" w:rsidP="00824DE0">
      <w:pPr>
        <w:spacing w:before="120"/>
        <w:jc w:val="both"/>
      </w:pPr>
      <w:r>
        <w:t xml:space="preserve">Nous vous invitons à télécharger et à adapter à vos besoins le registre de formation proposé par l’APSAM sur la page </w:t>
      </w:r>
      <w:sdt>
        <w:sdtPr>
          <w:tag w:val="goog_rdk_28"/>
          <w:id w:val="1097520519"/>
        </w:sdtPr>
        <w:sdtContent/>
      </w:sdt>
      <w:hyperlink r:id="rId30">
        <w:r>
          <w:rPr>
            <w:color w:val="0563C1"/>
            <w:u w:val="single"/>
          </w:rPr>
          <w:t>Formation en santé et en sécurité du travail</w:t>
        </w:r>
      </w:hyperlink>
      <w:r>
        <w:t>.</w:t>
      </w:r>
    </w:p>
    <w:p w14:paraId="00000188" w14:textId="77777777" w:rsidR="006B1DB6" w:rsidRDefault="006B1DB6" w:rsidP="00824DE0">
      <w:pPr>
        <w:jc w:val="both"/>
      </w:pPr>
    </w:p>
    <w:p w14:paraId="00000189" w14:textId="77777777" w:rsidR="006B1DB6" w:rsidRDefault="00844031" w:rsidP="00F4051F">
      <w:pPr>
        <w:pStyle w:val="Titre1"/>
        <w:numPr>
          <w:ilvl w:val="0"/>
          <w:numId w:val="22"/>
        </w:numPr>
        <w:ind w:left="450" w:hanging="450"/>
        <w:jc w:val="both"/>
      </w:pPr>
      <w:bookmarkStart w:id="36" w:name="_Toc143845856"/>
      <w:r>
        <w:t>audits</w:t>
      </w:r>
      <w:bookmarkEnd w:id="36"/>
    </w:p>
    <w:p w14:paraId="0000018A" w14:textId="529F9832" w:rsidR="006B1DB6" w:rsidRDefault="00844031" w:rsidP="00824DE0">
      <w:pPr>
        <w:spacing w:before="120" w:after="120"/>
        <w:jc w:val="both"/>
      </w:pPr>
      <w:r>
        <w:t>L’employeur doit</w:t>
      </w:r>
      <w:r w:rsidR="0009515A">
        <w:t xml:space="preserve"> réaliser</w:t>
      </w:r>
      <w:r>
        <w:t xml:space="preserve"> des suivis et contrôles, notamment en effectuant des audits sur le terrain. Il doit s’assurer que les procédures effectuées en espace clos sont sécuritaires pour les entrées, le travail et le sauvetage pour chacune des tâches. Pour y arriver, il est nécessaire d’auditer :</w:t>
      </w:r>
    </w:p>
    <w:p w14:paraId="0000018B" w14:textId="3D16C967" w:rsidR="006B1DB6" w:rsidRDefault="00844031" w:rsidP="00824DE0">
      <w:pPr>
        <w:numPr>
          <w:ilvl w:val="0"/>
          <w:numId w:val="4"/>
        </w:numPr>
        <w:pBdr>
          <w:top w:val="nil"/>
          <w:left w:val="nil"/>
          <w:bottom w:val="nil"/>
          <w:right w:val="nil"/>
          <w:between w:val="nil"/>
        </w:pBdr>
        <w:spacing w:before="60" w:line="276" w:lineRule="auto"/>
        <w:jc w:val="both"/>
        <w:rPr>
          <w:color w:val="000000"/>
        </w:rPr>
      </w:pPr>
      <w:proofErr w:type="gramStart"/>
      <w:r>
        <w:t>les</w:t>
      </w:r>
      <w:proofErr w:type="gramEnd"/>
      <w:r>
        <w:t xml:space="preserve"> </w:t>
      </w:r>
      <w:r>
        <w:rPr>
          <w:color w:val="000000"/>
        </w:rPr>
        <w:t>gestionnaires, personnes qualifiées, travailleuses et travailleurs habilités, surveillant(e)s, personne désignée pour diriger les opérations de sauvetage, sauveteuses et sauveteurs</w:t>
      </w:r>
      <w:r>
        <w:t xml:space="preserve">, </w:t>
      </w:r>
      <w:r w:rsidRPr="00E1384E">
        <w:t>ainsi que</w:t>
      </w:r>
      <w:r w:rsidRPr="00E1384E">
        <w:rPr>
          <w:color w:val="000000"/>
        </w:rPr>
        <w:t xml:space="preserve"> sous-traitants,</w:t>
      </w:r>
      <w:r>
        <w:rPr>
          <w:color w:val="000000"/>
        </w:rPr>
        <w:t xml:space="preserve"> pour s’assurer que toutes ces </w:t>
      </w:r>
      <w:sdt>
        <w:sdtPr>
          <w:tag w:val="goog_rdk_30"/>
          <w:id w:val="433560309"/>
        </w:sdtPr>
        <w:sdtContent/>
      </w:sdt>
      <w:r>
        <w:rPr>
          <w:color w:val="000000"/>
        </w:rPr>
        <w:t xml:space="preserve">personnes </w:t>
      </w:r>
      <w:r w:rsidR="00E1384E">
        <w:rPr>
          <w:color w:val="000000"/>
        </w:rPr>
        <w:t xml:space="preserve">et organismes </w:t>
      </w:r>
      <w:r>
        <w:rPr>
          <w:color w:val="000000"/>
        </w:rPr>
        <w:t>comprennent leurs rôles et prennent leurs responsabilités;</w:t>
      </w:r>
    </w:p>
    <w:p w14:paraId="0000018C" w14:textId="77777777" w:rsidR="006B1DB6" w:rsidRDefault="00844031" w:rsidP="00824DE0">
      <w:pPr>
        <w:numPr>
          <w:ilvl w:val="0"/>
          <w:numId w:val="4"/>
        </w:numPr>
        <w:pBdr>
          <w:top w:val="nil"/>
          <w:left w:val="nil"/>
          <w:bottom w:val="nil"/>
          <w:right w:val="nil"/>
          <w:between w:val="nil"/>
        </w:pBdr>
        <w:spacing w:before="60" w:after="60"/>
        <w:jc w:val="both"/>
        <w:rPr>
          <w:color w:val="000000"/>
        </w:rPr>
      </w:pPr>
      <w:proofErr w:type="gramStart"/>
      <w:r>
        <w:t>le</w:t>
      </w:r>
      <w:proofErr w:type="gramEnd"/>
      <w:r>
        <w:t xml:space="preserve"> processus d’analyse d’une nouvelle tâche à effectuer dans un espace clos ou avec accès restreint (ex.: travaux exceptionnels);</w:t>
      </w:r>
    </w:p>
    <w:p w14:paraId="0000018D" w14:textId="77777777" w:rsidR="006B1DB6" w:rsidRDefault="00844031" w:rsidP="00824DE0">
      <w:pPr>
        <w:numPr>
          <w:ilvl w:val="0"/>
          <w:numId w:val="4"/>
        </w:numPr>
        <w:pBdr>
          <w:top w:val="nil"/>
          <w:left w:val="nil"/>
          <w:bottom w:val="nil"/>
          <w:right w:val="nil"/>
          <w:between w:val="nil"/>
        </w:pBdr>
        <w:spacing w:line="276" w:lineRule="auto"/>
        <w:jc w:val="both"/>
        <w:rPr>
          <w:color w:val="000000"/>
        </w:rPr>
      </w:pPr>
      <w:proofErr w:type="gramStart"/>
      <w:r>
        <w:t>l</w:t>
      </w:r>
      <w:r>
        <w:rPr>
          <w:color w:val="000000"/>
        </w:rPr>
        <w:t>es</w:t>
      </w:r>
      <w:proofErr w:type="gramEnd"/>
      <w:r>
        <w:rPr>
          <w:color w:val="000000"/>
        </w:rPr>
        <w:t xml:space="preserve"> procédures d’entrée et de travail pour chacun des types d</w:t>
      </w:r>
      <w:r>
        <w:t>’</w:t>
      </w:r>
      <w:r>
        <w:rPr>
          <w:color w:val="000000"/>
        </w:rPr>
        <w:t>espaces clos;</w:t>
      </w:r>
    </w:p>
    <w:p w14:paraId="0000018E" w14:textId="77777777" w:rsidR="006B1DB6" w:rsidRDefault="00844031" w:rsidP="00824DE0">
      <w:pPr>
        <w:numPr>
          <w:ilvl w:val="0"/>
          <w:numId w:val="4"/>
        </w:numPr>
        <w:pBdr>
          <w:top w:val="nil"/>
          <w:left w:val="nil"/>
          <w:bottom w:val="nil"/>
          <w:right w:val="nil"/>
          <w:between w:val="nil"/>
        </w:pBdr>
        <w:spacing w:line="276" w:lineRule="auto"/>
        <w:jc w:val="both"/>
        <w:rPr>
          <w:color w:val="000000"/>
        </w:rPr>
      </w:pPr>
      <w:proofErr w:type="gramStart"/>
      <w:r>
        <w:t>l</w:t>
      </w:r>
      <w:r>
        <w:rPr>
          <w:color w:val="000000"/>
        </w:rPr>
        <w:t>es</w:t>
      </w:r>
      <w:proofErr w:type="gramEnd"/>
      <w:r>
        <w:rPr>
          <w:color w:val="000000"/>
        </w:rPr>
        <w:t xml:space="preserve"> procédures d’urgence lorsque des situations exceptionnelles sont rencontrées (alarme de gaz explosif, absence totale d’oxygène, etc.);</w:t>
      </w:r>
    </w:p>
    <w:p w14:paraId="0000018F" w14:textId="77777777" w:rsidR="006B1DB6" w:rsidRDefault="00844031" w:rsidP="00824DE0">
      <w:pPr>
        <w:numPr>
          <w:ilvl w:val="0"/>
          <w:numId w:val="4"/>
        </w:numPr>
        <w:pBdr>
          <w:top w:val="nil"/>
          <w:left w:val="nil"/>
          <w:bottom w:val="nil"/>
          <w:right w:val="nil"/>
          <w:between w:val="nil"/>
        </w:pBdr>
        <w:spacing w:line="276" w:lineRule="auto"/>
        <w:jc w:val="both"/>
        <w:rPr>
          <w:color w:val="000000"/>
        </w:rPr>
      </w:pPr>
      <w:proofErr w:type="gramStart"/>
      <w:r>
        <w:t>l</w:t>
      </w:r>
      <w:r>
        <w:rPr>
          <w:color w:val="000000"/>
        </w:rPr>
        <w:t>es</w:t>
      </w:r>
      <w:proofErr w:type="gramEnd"/>
      <w:r>
        <w:rPr>
          <w:color w:val="000000"/>
        </w:rPr>
        <w:t xml:space="preserve"> procédures de sauvetage en espace clos ou spécialisées pour les espaces clos avec accès restreint (sauvetage en hauteur, désincarcération, etc.);</w:t>
      </w:r>
    </w:p>
    <w:p w14:paraId="00000190" w14:textId="77777777" w:rsidR="006B1DB6" w:rsidRDefault="00844031" w:rsidP="00824DE0">
      <w:pPr>
        <w:numPr>
          <w:ilvl w:val="0"/>
          <w:numId w:val="4"/>
        </w:numPr>
        <w:pBdr>
          <w:top w:val="nil"/>
          <w:left w:val="nil"/>
          <w:bottom w:val="nil"/>
          <w:right w:val="nil"/>
          <w:between w:val="nil"/>
        </w:pBdr>
        <w:spacing w:after="120" w:line="276" w:lineRule="auto"/>
        <w:jc w:val="both"/>
        <w:rPr>
          <w:color w:val="000000"/>
        </w:rPr>
      </w:pPr>
      <w:proofErr w:type="gramStart"/>
      <w:r>
        <w:t>l</w:t>
      </w:r>
      <w:r>
        <w:rPr>
          <w:color w:val="000000"/>
        </w:rPr>
        <w:t>es</w:t>
      </w:r>
      <w:proofErr w:type="gramEnd"/>
      <w:r>
        <w:rPr>
          <w:color w:val="000000"/>
        </w:rPr>
        <w:t xml:space="preserve"> premiers secours lorsque la travailleuse ou le travailleur </w:t>
      </w:r>
      <w:r>
        <w:t>n'est plus dans l'espace clos ou dans l’espace avec accès restreint</w:t>
      </w:r>
      <w:r>
        <w:rPr>
          <w:color w:val="000000"/>
        </w:rPr>
        <w:t>.</w:t>
      </w:r>
    </w:p>
    <w:p w14:paraId="00000191" w14:textId="77777777" w:rsidR="006B1DB6" w:rsidRDefault="00844031" w:rsidP="00824DE0">
      <w:pPr>
        <w:pBdr>
          <w:top w:val="nil"/>
          <w:left w:val="nil"/>
          <w:bottom w:val="nil"/>
          <w:right w:val="nil"/>
          <w:between w:val="nil"/>
        </w:pBdr>
        <w:spacing w:after="120" w:line="276" w:lineRule="auto"/>
        <w:jc w:val="both"/>
      </w:pPr>
      <w:r>
        <w:t>Dans tous les cas, les représentant(e)s de l’employeur devront intervenir rapidement pour corriger les problématiques observées, et ce, en collaboration avec une ou des personnes qualifiées.</w:t>
      </w:r>
    </w:p>
    <w:p w14:paraId="00000192" w14:textId="77777777" w:rsidR="006B1DB6" w:rsidRDefault="00844031" w:rsidP="00824DE0">
      <w:pPr>
        <w:spacing w:before="120" w:after="120"/>
        <w:jc w:val="both"/>
      </w:pPr>
      <w:r>
        <w:t>Se référer au formulaire d’audit proposé par votre ASP.</w:t>
      </w:r>
    </w:p>
    <w:p w14:paraId="00000193" w14:textId="77777777" w:rsidR="006B1DB6" w:rsidRDefault="006B1DB6" w:rsidP="00824DE0">
      <w:pPr>
        <w:spacing w:before="120" w:after="120"/>
        <w:jc w:val="both"/>
      </w:pPr>
    </w:p>
    <w:p w14:paraId="7DA95AEA" w14:textId="77777777" w:rsidR="00824DE0" w:rsidRDefault="00824DE0">
      <w:pPr>
        <w:rPr>
          <w:rFonts w:asciiTheme="minorHAnsi" w:eastAsiaTheme="minorHAnsi" w:hAnsiTheme="minorHAnsi" w:cstheme="minorHAnsi"/>
          <w:b/>
          <w:bCs/>
          <w:caps/>
          <w:color w:val="243A68" w:themeColor="text2"/>
          <w:sz w:val="30"/>
          <w:szCs w:val="30"/>
        </w:rPr>
      </w:pPr>
      <w:r>
        <w:br w:type="page"/>
      </w:r>
    </w:p>
    <w:p w14:paraId="00000194" w14:textId="7ADFFAE7" w:rsidR="006B1DB6" w:rsidRDefault="00844031" w:rsidP="00F4051F">
      <w:pPr>
        <w:pStyle w:val="Titre1"/>
        <w:numPr>
          <w:ilvl w:val="0"/>
          <w:numId w:val="22"/>
        </w:numPr>
        <w:ind w:left="450" w:hanging="450"/>
        <w:jc w:val="both"/>
      </w:pPr>
      <w:bookmarkStart w:id="37" w:name="_Toc143845857"/>
      <w:r>
        <w:lastRenderedPageBreak/>
        <w:t>Mise à jour</w:t>
      </w:r>
      <w:bookmarkEnd w:id="37"/>
    </w:p>
    <w:p w14:paraId="00000195" w14:textId="77777777" w:rsidR="006B1DB6" w:rsidRDefault="00844031" w:rsidP="00824DE0">
      <w:pPr>
        <w:spacing w:before="120"/>
        <w:jc w:val="both"/>
      </w:pPr>
      <w:r>
        <w:t>Plusieurs changements peuvent survenir et avoir une incidence sur la façon de faire de l’organisation. Il est donc important de tenir compte de ceux-ci et de prévoir des mises à jour afin de s’y adapter adéquatement. Elles sont nécessaires dans les cas suivants :</w:t>
      </w:r>
    </w:p>
    <w:p w14:paraId="00000196" w14:textId="77777777" w:rsidR="006B1DB6" w:rsidRDefault="00844031" w:rsidP="00824DE0">
      <w:pPr>
        <w:numPr>
          <w:ilvl w:val="0"/>
          <w:numId w:val="2"/>
        </w:numPr>
        <w:pBdr>
          <w:top w:val="nil"/>
          <w:left w:val="nil"/>
          <w:bottom w:val="nil"/>
          <w:right w:val="nil"/>
          <w:between w:val="nil"/>
        </w:pBdr>
        <w:jc w:val="both"/>
        <w:rPr>
          <w:color w:val="000000"/>
        </w:rPr>
      </w:pPr>
      <w:proofErr w:type="gramStart"/>
      <w:r>
        <w:rPr>
          <w:color w:val="000000"/>
        </w:rPr>
        <w:t>changement</w:t>
      </w:r>
      <w:proofErr w:type="gramEnd"/>
      <w:r>
        <w:rPr>
          <w:color w:val="000000"/>
        </w:rPr>
        <w:t xml:space="preserve"> r</w:t>
      </w:r>
      <w:r>
        <w:t>è</w:t>
      </w:r>
      <w:r>
        <w:rPr>
          <w:color w:val="000000"/>
        </w:rPr>
        <w:t>glementaire;</w:t>
      </w:r>
    </w:p>
    <w:p w14:paraId="00000197" w14:textId="77777777" w:rsidR="006B1DB6" w:rsidRDefault="00844031" w:rsidP="00824DE0">
      <w:pPr>
        <w:numPr>
          <w:ilvl w:val="0"/>
          <w:numId w:val="2"/>
        </w:numPr>
        <w:pBdr>
          <w:top w:val="nil"/>
          <w:left w:val="nil"/>
          <w:bottom w:val="nil"/>
          <w:right w:val="nil"/>
          <w:between w:val="nil"/>
        </w:pBdr>
        <w:jc w:val="both"/>
        <w:rPr>
          <w:color w:val="000000"/>
        </w:rPr>
      </w:pPr>
      <w:proofErr w:type="gramStart"/>
      <w:r>
        <w:rPr>
          <w:color w:val="000000"/>
        </w:rPr>
        <w:t>nouvel</w:t>
      </w:r>
      <w:proofErr w:type="gramEnd"/>
      <w:r>
        <w:rPr>
          <w:color w:val="000000"/>
        </w:rPr>
        <w:t xml:space="preserve"> aménagement de l’espace;</w:t>
      </w:r>
    </w:p>
    <w:p w14:paraId="00000198" w14:textId="77777777" w:rsidR="006B1DB6" w:rsidRDefault="00844031" w:rsidP="00824DE0">
      <w:pPr>
        <w:numPr>
          <w:ilvl w:val="0"/>
          <w:numId w:val="2"/>
        </w:numPr>
        <w:pBdr>
          <w:top w:val="nil"/>
          <w:left w:val="nil"/>
          <w:bottom w:val="nil"/>
          <w:right w:val="nil"/>
          <w:between w:val="nil"/>
        </w:pBdr>
        <w:jc w:val="both"/>
        <w:rPr>
          <w:color w:val="000000"/>
        </w:rPr>
      </w:pPr>
      <w:proofErr w:type="gramStart"/>
      <w:r>
        <w:rPr>
          <w:color w:val="000000"/>
        </w:rPr>
        <w:t>achat</w:t>
      </w:r>
      <w:proofErr w:type="gramEnd"/>
      <w:r>
        <w:rPr>
          <w:color w:val="000000"/>
        </w:rPr>
        <w:t xml:space="preserve"> de nouveaux équipements de protection collectifs ou individuels;</w:t>
      </w:r>
    </w:p>
    <w:p w14:paraId="00000199" w14:textId="77777777" w:rsidR="006B1DB6" w:rsidRDefault="00844031" w:rsidP="00824DE0">
      <w:pPr>
        <w:numPr>
          <w:ilvl w:val="0"/>
          <w:numId w:val="2"/>
        </w:numPr>
        <w:pBdr>
          <w:top w:val="nil"/>
          <w:left w:val="nil"/>
          <w:bottom w:val="nil"/>
          <w:right w:val="nil"/>
          <w:between w:val="nil"/>
        </w:pBdr>
        <w:jc w:val="both"/>
        <w:rPr>
          <w:color w:val="000000"/>
        </w:rPr>
      </w:pPr>
      <w:proofErr w:type="gramStart"/>
      <w:r>
        <w:rPr>
          <w:color w:val="000000"/>
        </w:rPr>
        <w:t>changements</w:t>
      </w:r>
      <w:proofErr w:type="gramEnd"/>
      <w:r>
        <w:rPr>
          <w:color w:val="000000"/>
        </w:rPr>
        <w:t xml:space="preserve"> technologiques ou organisationnels;</w:t>
      </w:r>
    </w:p>
    <w:p w14:paraId="0000019A" w14:textId="77777777" w:rsidR="006B1DB6" w:rsidRDefault="00844031" w:rsidP="00824DE0">
      <w:pPr>
        <w:numPr>
          <w:ilvl w:val="0"/>
          <w:numId w:val="2"/>
        </w:numPr>
        <w:pBdr>
          <w:top w:val="nil"/>
          <w:left w:val="nil"/>
          <w:bottom w:val="nil"/>
          <w:right w:val="nil"/>
          <w:between w:val="nil"/>
        </w:pBdr>
        <w:jc w:val="both"/>
        <w:rPr>
          <w:color w:val="000000"/>
        </w:rPr>
      </w:pPr>
      <w:proofErr w:type="gramStart"/>
      <w:r>
        <w:rPr>
          <w:color w:val="000000"/>
        </w:rPr>
        <w:t>nouvelles</w:t>
      </w:r>
      <w:proofErr w:type="gramEnd"/>
      <w:r>
        <w:rPr>
          <w:color w:val="000000"/>
        </w:rPr>
        <w:t xml:space="preserve"> tâches à faire qui ne figurent pas sur la « Fiche de renseignements » de l’espace</w:t>
      </w:r>
      <w:r>
        <w:t>;</w:t>
      </w:r>
    </w:p>
    <w:p w14:paraId="0000019B" w14:textId="77777777" w:rsidR="006B1DB6" w:rsidRDefault="00844031" w:rsidP="00824DE0">
      <w:pPr>
        <w:numPr>
          <w:ilvl w:val="0"/>
          <w:numId w:val="2"/>
        </w:numPr>
        <w:pBdr>
          <w:top w:val="nil"/>
          <w:left w:val="nil"/>
          <w:bottom w:val="nil"/>
          <w:right w:val="nil"/>
          <w:between w:val="nil"/>
        </w:pBdr>
        <w:jc w:val="both"/>
        <w:rPr>
          <w:color w:val="000000"/>
        </w:rPr>
      </w:pPr>
      <w:proofErr w:type="gramStart"/>
      <w:r>
        <w:rPr>
          <w:color w:val="000000"/>
        </w:rPr>
        <w:t>correctifs</w:t>
      </w:r>
      <w:proofErr w:type="gramEnd"/>
      <w:r>
        <w:rPr>
          <w:color w:val="000000"/>
        </w:rPr>
        <w:t xml:space="preserve"> qui sont soulevés lors des audits.</w:t>
      </w:r>
    </w:p>
    <w:p w14:paraId="0000019C" w14:textId="77777777" w:rsidR="006B1DB6" w:rsidRDefault="006B1DB6" w:rsidP="00824DE0">
      <w:pPr>
        <w:jc w:val="both"/>
      </w:pPr>
    </w:p>
    <w:p w14:paraId="0000019D" w14:textId="77777777" w:rsidR="006B1DB6" w:rsidRDefault="00844031" w:rsidP="00824DE0">
      <w:pPr>
        <w:spacing w:after="200" w:line="276" w:lineRule="auto"/>
        <w:jc w:val="both"/>
      </w:pPr>
      <w:r>
        <w:t>Le cas échéant, la coordonnatrice ou le coordonnateur doit veiller à ce que le programme de prévention spécifique aux espaces clos soit mis à jour une fois par année, notamment pour que :</w:t>
      </w:r>
    </w:p>
    <w:p w14:paraId="0000019E" w14:textId="77777777" w:rsidR="006B1DB6" w:rsidRDefault="00844031" w:rsidP="00824DE0">
      <w:pPr>
        <w:numPr>
          <w:ilvl w:val="0"/>
          <w:numId w:val="5"/>
        </w:numPr>
        <w:pBdr>
          <w:top w:val="nil"/>
          <w:left w:val="nil"/>
          <w:bottom w:val="nil"/>
          <w:right w:val="nil"/>
          <w:between w:val="nil"/>
        </w:pBdr>
        <w:spacing w:line="276" w:lineRule="auto"/>
        <w:jc w:val="both"/>
        <w:rPr>
          <w:color w:val="000000"/>
        </w:rPr>
      </w:pPr>
      <w:proofErr w:type="gramStart"/>
      <w:r>
        <w:rPr>
          <w:color w:val="000000"/>
        </w:rPr>
        <w:t>les</w:t>
      </w:r>
      <w:proofErr w:type="gramEnd"/>
      <w:r>
        <w:rPr>
          <w:color w:val="000000"/>
        </w:rPr>
        <w:t xml:space="preserve"> personnes qualifiées intègrent les modifications appropriées aux fiches de renseignements des espaces clos ou avec accès restreint, aux procédures d’entrée de travail ainsi que de sauvetage, incluant les fiches de contrôle/permis et le plan de sauvetage;</w:t>
      </w:r>
    </w:p>
    <w:p w14:paraId="0000019F" w14:textId="77777777" w:rsidR="006B1DB6" w:rsidRDefault="00844031" w:rsidP="00824DE0">
      <w:pPr>
        <w:numPr>
          <w:ilvl w:val="0"/>
          <w:numId w:val="5"/>
        </w:numPr>
        <w:pBdr>
          <w:top w:val="nil"/>
          <w:left w:val="nil"/>
          <w:bottom w:val="nil"/>
          <w:right w:val="nil"/>
          <w:between w:val="nil"/>
        </w:pBdr>
        <w:spacing w:line="276" w:lineRule="auto"/>
        <w:jc w:val="both"/>
        <w:rPr>
          <w:color w:val="000000"/>
        </w:rPr>
      </w:pPr>
      <w:proofErr w:type="gramStart"/>
      <w:r>
        <w:rPr>
          <w:color w:val="000000"/>
        </w:rPr>
        <w:t>la</w:t>
      </w:r>
      <w:proofErr w:type="gramEnd"/>
      <w:r>
        <w:rPr>
          <w:color w:val="000000"/>
        </w:rPr>
        <w:t xml:space="preserve"> mise à jour des formations initiales et de rappel ainsi que de sauvetage soit effectuée;</w:t>
      </w:r>
    </w:p>
    <w:p w14:paraId="000001A0" w14:textId="77777777" w:rsidR="006B1DB6" w:rsidRDefault="00844031" w:rsidP="00824DE0">
      <w:pPr>
        <w:numPr>
          <w:ilvl w:val="0"/>
          <w:numId w:val="5"/>
        </w:numPr>
        <w:pBdr>
          <w:top w:val="nil"/>
          <w:left w:val="nil"/>
          <w:bottom w:val="nil"/>
          <w:right w:val="nil"/>
          <w:between w:val="nil"/>
        </w:pBdr>
        <w:spacing w:after="200" w:line="276" w:lineRule="auto"/>
        <w:jc w:val="both"/>
        <w:rPr>
          <w:color w:val="000000"/>
        </w:rPr>
      </w:pPr>
      <w:proofErr w:type="gramStart"/>
      <w:r>
        <w:rPr>
          <w:color w:val="000000"/>
        </w:rPr>
        <w:t>la</w:t>
      </w:r>
      <w:proofErr w:type="gramEnd"/>
      <w:r>
        <w:rPr>
          <w:color w:val="000000"/>
        </w:rPr>
        <w:t xml:space="preserve"> programmation des seuils des alarmes des détecteurs de gaz soit modifiée et que la documentation relative à leur usage soit mise à jour, transmise aux gestionnaires et disponible sur les lieux de travail. Ces nouveautés doivent être expliquées aux travailleuses et aux travailleurs concernés.</w:t>
      </w:r>
    </w:p>
    <w:sectPr w:rsidR="006B1DB6" w:rsidSect="00E11E93">
      <w:headerReference w:type="default" r:id="rId31"/>
      <w:footerReference w:type="default" r:id="rId32"/>
      <w:footerReference w:type="first" r:id="rId33"/>
      <w:pgSz w:w="12240" w:h="15840"/>
      <w:pgMar w:top="1440" w:right="1354" w:bottom="1080" w:left="1080" w:header="720" w:footer="4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275B2" w14:textId="77777777" w:rsidR="000F5E32" w:rsidRDefault="000F5E32">
      <w:r>
        <w:separator/>
      </w:r>
    </w:p>
  </w:endnote>
  <w:endnote w:type="continuationSeparator" w:id="0">
    <w:p w14:paraId="33AA7963" w14:textId="77777777" w:rsidR="000F5E32" w:rsidRDefault="000F5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swiss"/>
    <w:pitch w:val="variable"/>
    <w:sig w:usb0="E00002FF" w:usb1="4000001F" w:usb2="08000029"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National Book">
    <w:charset w:val="4D"/>
    <w:family w:val="auto"/>
    <w:pitch w:val="variable"/>
    <w:sig w:usb0="A00000FF" w:usb1="5000207B" w:usb2="00000010" w:usb3="00000000" w:csb0="0000009B" w:csb1="00000000"/>
  </w:font>
  <w:font w:name="National Bold">
    <w:panose1 w:val="00000000000000000000"/>
    <w:charset w:val="00"/>
    <w:family w:val="modern"/>
    <w:notTrueType/>
    <w:pitch w:val="variable"/>
    <w:sig w:usb0="A00000FF" w:usb1="5000207B" w:usb2="00000010" w:usb3="00000000" w:csb0="0000009B" w:csb1="00000000"/>
  </w:font>
  <w:font w:name="National Bold Italic">
    <w:panose1 w:val="00000000000000000000"/>
    <w:charset w:val="00"/>
    <w:family w:val="modern"/>
    <w:notTrueType/>
    <w:pitch w:val="variable"/>
    <w:sig w:usb0="A00000FF" w:usb1="5000207B" w:usb2="00000010" w:usb3="00000000" w:csb0="0000009B" w:csb1="00000000"/>
  </w:font>
  <w:font w:name="ArialMT">
    <w:panose1 w:val="00000000000000000000"/>
    <w:charset w:val="4D"/>
    <w:family w:val="auto"/>
    <w:notTrueType/>
    <w:pitch w:val="default"/>
    <w:sig w:usb0="00000003" w:usb1="00000000" w:usb2="00000000" w:usb3="00000000" w:csb0="00000001" w:csb1="00000000"/>
  </w:font>
  <w:font w:name="ArialNarrow">
    <w:charset w:val="00"/>
    <w:family w:val="swiss"/>
    <w:pitch w:val="variable"/>
    <w:sig w:usb0="00000287" w:usb1="00000800" w:usb2="00000000" w:usb3="00000000" w:csb0="0000009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QQNXDS+TimesNewRomanPS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37902" w14:textId="77777777" w:rsidR="00E11E93" w:rsidRDefault="00E11E93" w:rsidP="00E11E93">
    <w:pPr>
      <w:ind w:right="2160"/>
      <w:jc w:val="both"/>
      <w:rPr>
        <w:sz w:val="16"/>
        <w:szCs w:val="16"/>
      </w:rPr>
    </w:pPr>
    <w:r>
      <w:rPr>
        <w:sz w:val="16"/>
        <w:szCs w:val="16"/>
      </w:rPr>
      <w:t xml:space="preserve">Le comité multi ASP-IRSST « Espaces clos » a produit le modèle original à partir duquel ce document a été adapté. </w:t>
    </w:r>
  </w:p>
  <w:p w14:paraId="13962EAD" w14:textId="77777777" w:rsidR="00E11E93" w:rsidRDefault="00E11E93" w:rsidP="00E11E93">
    <w:pPr>
      <w:ind w:right="2160"/>
      <w:jc w:val="both"/>
      <w:rPr>
        <w:sz w:val="16"/>
        <w:szCs w:val="16"/>
      </w:rPr>
    </w:pPr>
    <w:r>
      <w:rPr>
        <w:sz w:val="16"/>
        <w:szCs w:val="16"/>
      </w:rPr>
      <w:t>Les droits d’auteur sont libérés pour adaptation. Le document original est disponible sur le site de l’APSAM (</w:t>
    </w:r>
    <w:hyperlink r:id="rId1">
      <w:r>
        <w:rPr>
          <w:color w:val="0563C1"/>
          <w:sz w:val="16"/>
          <w:szCs w:val="16"/>
          <w:u w:val="single"/>
        </w:rPr>
        <w:t>www.apsam.com</w:t>
      </w:r>
    </w:hyperlink>
    <w:r>
      <w:rPr>
        <w:sz w:val="16"/>
        <w:szCs w:val="16"/>
      </w:rPr>
      <w:t xml:space="preserve">). </w:t>
    </w:r>
  </w:p>
  <w:p w14:paraId="000001A7" w14:textId="7829A748" w:rsidR="006B1DB6" w:rsidRPr="00E11E93" w:rsidRDefault="00E11E93" w:rsidP="00E11E93">
    <w:pPr>
      <w:tabs>
        <w:tab w:val="right" w:pos="13320"/>
      </w:tabs>
      <w:jc w:val="both"/>
    </w:pPr>
    <w:r>
      <w:rPr>
        <w:sz w:val="16"/>
        <w:szCs w:val="16"/>
      </w:rPr>
      <w:t>2023</w:t>
    </w:r>
    <w:r w:rsidR="00AE12D1">
      <w:rPr>
        <w:sz w:val="16"/>
        <w:szCs w:val="16"/>
      </w:rPr>
      <w:t>-08-24</w:t>
    </w:r>
    <w:r>
      <w:rPr>
        <w:sz w:val="16"/>
        <w:szCs w:val="16"/>
      </w:rPr>
      <w:tab/>
    </w:r>
    <w:r>
      <w:rPr>
        <w:sz w:val="16"/>
        <w:szCs w:val="16"/>
      </w:rPr>
      <w:fldChar w:fldCharType="begin"/>
    </w:r>
    <w:r>
      <w:rPr>
        <w:sz w:val="16"/>
        <w:szCs w:val="16"/>
      </w:rPr>
      <w:instrText>PAGE</w:instrText>
    </w:r>
    <w:r>
      <w:rPr>
        <w:sz w:val="16"/>
        <w:szCs w:val="16"/>
      </w:rPr>
      <w:fldChar w:fldCharType="separate"/>
    </w:r>
    <w:r>
      <w:rPr>
        <w:sz w:val="16"/>
        <w:szCs w:val="16"/>
      </w:rPr>
      <w:t>2</w:t>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A8" w14:textId="77777777" w:rsidR="006B1DB6" w:rsidRDefault="00844031">
    <w:pPr>
      <w:tabs>
        <w:tab w:val="right" w:pos="13230"/>
      </w:tabs>
      <w:ind w:left="2160"/>
    </w:pP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633DF" w14:textId="77777777" w:rsidR="000F5E32" w:rsidRDefault="000F5E32">
      <w:r>
        <w:separator/>
      </w:r>
    </w:p>
  </w:footnote>
  <w:footnote w:type="continuationSeparator" w:id="0">
    <w:p w14:paraId="62AA8FF8" w14:textId="77777777" w:rsidR="000F5E32" w:rsidRDefault="000F5E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A1" w14:textId="77777777" w:rsidR="006B1DB6" w:rsidRDefault="006B1DB6">
    <w:pPr>
      <w:widowControl w:val="0"/>
      <w:pBdr>
        <w:top w:val="nil"/>
        <w:left w:val="nil"/>
        <w:bottom w:val="nil"/>
        <w:right w:val="nil"/>
        <w:between w:val="nil"/>
      </w:pBdr>
      <w:spacing w:line="276" w:lineRule="auto"/>
      <w:rPr>
        <w:color w:val="000000"/>
      </w:rPr>
    </w:pPr>
  </w:p>
  <w:tbl>
    <w:tblPr>
      <w:tblStyle w:val="a0"/>
      <w:tblW w:w="980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30"/>
      <w:gridCol w:w="9176"/>
    </w:tblGrid>
    <w:tr w:rsidR="006B1DB6" w14:paraId="7D134088" w14:textId="77777777" w:rsidTr="00E11E93">
      <w:trPr>
        <w:trHeight w:val="639"/>
      </w:trPr>
      <w:tc>
        <w:tcPr>
          <w:tcW w:w="630" w:type="dxa"/>
          <w:shd w:val="clear" w:color="auto" w:fill="30AEB3" w:themeFill="accent3"/>
          <w:vAlign w:val="center"/>
        </w:tcPr>
        <w:p w14:paraId="000001A2" w14:textId="77777777" w:rsidR="006B1DB6" w:rsidRDefault="006B1DB6">
          <w:pPr>
            <w:pBdr>
              <w:top w:val="nil"/>
              <w:left w:val="nil"/>
              <w:bottom w:val="nil"/>
              <w:right w:val="nil"/>
              <w:between w:val="nil"/>
            </w:pBdr>
            <w:ind w:left="-720"/>
            <w:jc w:val="both"/>
            <w:rPr>
              <w:sz w:val="22"/>
              <w:szCs w:val="22"/>
            </w:rPr>
          </w:pPr>
        </w:p>
      </w:tc>
      <w:tc>
        <w:tcPr>
          <w:tcW w:w="9176" w:type="dxa"/>
          <w:shd w:val="clear" w:color="auto" w:fill="243A68" w:themeFill="text2"/>
          <w:vAlign w:val="center"/>
        </w:tcPr>
        <w:p w14:paraId="000001A3" w14:textId="77777777" w:rsidR="006B1DB6" w:rsidRDefault="00844031">
          <w:pPr>
            <w:pBdr>
              <w:top w:val="nil"/>
              <w:left w:val="nil"/>
              <w:bottom w:val="nil"/>
              <w:right w:val="nil"/>
              <w:between w:val="nil"/>
            </w:pBdr>
            <w:jc w:val="both"/>
            <w:rPr>
              <w:b/>
              <w:smallCaps/>
              <w:sz w:val="22"/>
              <w:szCs w:val="22"/>
            </w:rPr>
          </w:pPr>
          <w:r>
            <w:rPr>
              <w:b/>
              <w:smallCaps/>
              <w:color w:val="FFFFFF"/>
              <w:sz w:val="22"/>
              <w:szCs w:val="22"/>
            </w:rPr>
            <w:t xml:space="preserve">DOCUMENT DE SUPPORT AU PLAN D’ACTION </w:t>
          </w:r>
          <w:sdt>
            <w:sdtPr>
              <w:tag w:val="goog_rdk_31"/>
              <w:id w:val="1772124701"/>
            </w:sdtPr>
            <w:sdtContent/>
          </w:sdt>
          <w:r>
            <w:rPr>
              <w:rFonts w:ascii="Noto Sans Symbols" w:eastAsia="Noto Sans Symbols" w:hAnsi="Noto Sans Symbols" w:cs="Noto Sans Symbols"/>
              <w:b/>
              <w:smallCaps/>
              <w:color w:val="FFFFFF"/>
              <w:sz w:val="22"/>
              <w:szCs w:val="22"/>
            </w:rPr>
            <w:t>−</w:t>
          </w:r>
          <w:r>
            <w:rPr>
              <w:b/>
              <w:smallCaps/>
              <w:color w:val="FFFFFF"/>
              <w:sz w:val="22"/>
              <w:szCs w:val="22"/>
            </w:rPr>
            <w:t xml:space="preserve"> ESPACES CLOS </w:t>
          </w:r>
        </w:p>
      </w:tc>
    </w:tr>
  </w:tbl>
  <w:p w14:paraId="000001A4" w14:textId="77777777" w:rsidR="006B1DB6" w:rsidRDefault="006B1DB6">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44672"/>
    <w:multiLevelType w:val="multilevel"/>
    <w:tmpl w:val="B1E669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7A7884"/>
    <w:multiLevelType w:val="multilevel"/>
    <w:tmpl w:val="635C26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80112BE"/>
    <w:multiLevelType w:val="multilevel"/>
    <w:tmpl w:val="532AC478"/>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 w15:restartNumberingAfterBreak="0">
    <w:nsid w:val="18FD6155"/>
    <w:multiLevelType w:val="multilevel"/>
    <w:tmpl w:val="68AE778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AD75ED0"/>
    <w:multiLevelType w:val="multilevel"/>
    <w:tmpl w:val="3992087E"/>
    <w:lvl w:ilvl="0">
      <w:start w:val="1"/>
      <w:numFmt w:val="decimal"/>
      <w:pStyle w:val="Titreniveau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CE6570D"/>
    <w:multiLevelType w:val="multilevel"/>
    <w:tmpl w:val="D4D8180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350" w:hanging="360"/>
      </w:pPr>
      <w:rPr>
        <w:rFonts w:ascii="Calibri" w:eastAsiaTheme="minorEastAsia" w:hAnsi="Calibri" w:cs="Calibri" w:hint="default"/>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241500B6"/>
    <w:multiLevelType w:val="multilevel"/>
    <w:tmpl w:val="F79A94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4812F73"/>
    <w:multiLevelType w:val="multilevel"/>
    <w:tmpl w:val="33A00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5C65C46"/>
    <w:multiLevelType w:val="multilevel"/>
    <w:tmpl w:val="65A8352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35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27C903BD"/>
    <w:multiLevelType w:val="multilevel"/>
    <w:tmpl w:val="364A4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0380048"/>
    <w:multiLevelType w:val="multilevel"/>
    <w:tmpl w:val="E24E7168"/>
    <w:lvl w:ilvl="0">
      <w:start w:val="1"/>
      <w:numFmt w:val="lowerLetter"/>
      <w:pStyle w:val="ClientleNumrotationNiveau1"/>
      <w:lvlText w:val="%1)"/>
      <w:lvlJc w:val="left"/>
      <w:pPr>
        <w:ind w:left="0" w:firstLine="0"/>
      </w:pPr>
      <w:rPr>
        <w:b w:val="0"/>
        <w:color w:val="000000"/>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1" w15:restartNumberingAfterBreak="0">
    <w:nsid w:val="31FB1A31"/>
    <w:multiLevelType w:val="multilevel"/>
    <w:tmpl w:val="0A641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7BB505C"/>
    <w:multiLevelType w:val="multilevel"/>
    <w:tmpl w:val="56DA3BB2"/>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Arial Narrow" w:eastAsia="Arial Narrow" w:hAnsi="Arial Narrow" w:cs="Arial Narro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94C5025"/>
    <w:multiLevelType w:val="multilevel"/>
    <w:tmpl w:val="B8E01822"/>
    <w:lvl w:ilvl="0">
      <w:start w:val="1"/>
      <w:numFmt w:val="bullet"/>
      <w:pStyle w:val="Puceniveau2"/>
      <w:lvlText w:val="●"/>
      <w:lvlJc w:val="left"/>
      <w:pPr>
        <w:ind w:left="720" w:hanging="360"/>
      </w:pPr>
      <w:rPr>
        <w:rFonts w:ascii="Noto Sans Symbols" w:eastAsia="Noto Sans Symbols" w:hAnsi="Noto Sans Symbols" w:cs="Noto Sans Symbols"/>
      </w:rPr>
    </w:lvl>
    <w:lvl w:ilvl="1">
      <w:start w:val="2"/>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CF701FE"/>
    <w:multiLevelType w:val="multilevel"/>
    <w:tmpl w:val="3B86E2C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35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442C7E39"/>
    <w:multiLevelType w:val="multilevel"/>
    <w:tmpl w:val="5B16C290"/>
    <w:lvl w:ilvl="0">
      <w:start w:val="1"/>
      <w:numFmt w:val="bullet"/>
      <w:pStyle w:val="Puce2"/>
      <w:lvlText w:val="●"/>
      <w:lvlJc w:val="left"/>
      <w:pPr>
        <w:ind w:left="1440" w:hanging="360"/>
      </w:pPr>
      <w:rPr>
        <w:rFonts w:ascii="Noto Sans Symbols" w:eastAsia="Noto Sans Symbols" w:hAnsi="Noto Sans Symbols" w:cs="Noto Sans Symbols"/>
      </w:rPr>
    </w:lvl>
    <w:lvl w:ilvl="1">
      <w:start w:val="1"/>
      <w:numFmt w:val="bullet"/>
      <w:pStyle w:val="Puce3"/>
      <w:lvlText w:val="●"/>
      <w:lvlJc w:val="left"/>
      <w:pPr>
        <w:ind w:left="1080" w:hanging="360"/>
      </w:pPr>
      <w:rPr>
        <w:rFonts w:ascii="Noto Sans Symbols" w:eastAsia="Noto Sans Symbols" w:hAnsi="Noto Sans Symbols" w:cs="Noto Sans Symbols"/>
      </w:rPr>
    </w:lvl>
    <w:lvl w:ilvl="2">
      <w:start w:val="1"/>
      <w:numFmt w:val="bullet"/>
      <w:lvlText w:val="▪"/>
      <w:lvlJc w:val="left"/>
      <w:pPr>
        <w:ind w:left="135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447E6B0F"/>
    <w:multiLevelType w:val="multilevel"/>
    <w:tmpl w:val="EBA4AFC0"/>
    <w:lvl w:ilvl="0">
      <w:start w:val="1"/>
      <w:numFmt w:val="bullet"/>
      <w:pStyle w:val="Numrotationniveau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4CB6E8A"/>
    <w:multiLevelType w:val="multilevel"/>
    <w:tmpl w:val="E83AB1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859467B"/>
    <w:multiLevelType w:val="multilevel"/>
    <w:tmpl w:val="6A86EE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9977705"/>
    <w:multiLevelType w:val="multilevel"/>
    <w:tmpl w:val="9EC6A314"/>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20" w15:restartNumberingAfterBreak="0">
    <w:nsid w:val="49CD0F3F"/>
    <w:multiLevelType w:val="multilevel"/>
    <w:tmpl w:val="3AA650DC"/>
    <w:lvl w:ilvl="0">
      <w:start w:val="1"/>
      <w:numFmt w:val="bullet"/>
      <w:pStyle w:val="Encadrnumrotationniveau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E140BDC"/>
    <w:multiLevelType w:val="multilevel"/>
    <w:tmpl w:val="EB1AE666"/>
    <w:lvl w:ilvl="0">
      <w:start w:val="1"/>
      <w:numFmt w:val="bullet"/>
      <w:lvlText w:val=""/>
      <w:lvlJc w:val="left"/>
      <w:pPr>
        <w:ind w:left="980" w:hanging="360"/>
      </w:pPr>
      <w:rPr>
        <w:rFonts w:ascii="Wingdings" w:hAnsi="Wingdings" w:hint="default"/>
      </w:rPr>
    </w:lvl>
    <w:lvl w:ilvl="1">
      <w:start w:val="1"/>
      <w:numFmt w:val="bullet"/>
      <w:lvlText w:val="o"/>
      <w:lvlJc w:val="left"/>
      <w:pPr>
        <w:ind w:left="1700" w:hanging="360"/>
      </w:pPr>
      <w:rPr>
        <w:rFonts w:ascii="Courier New" w:eastAsia="Courier New" w:hAnsi="Courier New" w:cs="Courier New"/>
      </w:rPr>
    </w:lvl>
    <w:lvl w:ilvl="2">
      <w:start w:val="1"/>
      <w:numFmt w:val="bullet"/>
      <w:lvlText w:val="▪"/>
      <w:lvlJc w:val="left"/>
      <w:pPr>
        <w:ind w:left="2420" w:hanging="360"/>
      </w:pPr>
      <w:rPr>
        <w:rFonts w:ascii="Noto Sans Symbols" w:eastAsia="Noto Sans Symbols" w:hAnsi="Noto Sans Symbols" w:cs="Noto Sans Symbols"/>
      </w:rPr>
    </w:lvl>
    <w:lvl w:ilvl="3">
      <w:start w:val="1"/>
      <w:numFmt w:val="bullet"/>
      <w:lvlText w:val="●"/>
      <w:lvlJc w:val="left"/>
      <w:pPr>
        <w:ind w:left="3140" w:hanging="360"/>
      </w:pPr>
      <w:rPr>
        <w:rFonts w:ascii="Noto Sans Symbols" w:eastAsia="Noto Sans Symbols" w:hAnsi="Noto Sans Symbols" w:cs="Noto Sans Symbols"/>
      </w:rPr>
    </w:lvl>
    <w:lvl w:ilvl="4">
      <w:start w:val="1"/>
      <w:numFmt w:val="bullet"/>
      <w:lvlText w:val="o"/>
      <w:lvlJc w:val="left"/>
      <w:pPr>
        <w:ind w:left="3860" w:hanging="360"/>
      </w:pPr>
      <w:rPr>
        <w:rFonts w:ascii="Courier New" w:eastAsia="Courier New" w:hAnsi="Courier New" w:cs="Courier New"/>
      </w:rPr>
    </w:lvl>
    <w:lvl w:ilvl="5">
      <w:start w:val="1"/>
      <w:numFmt w:val="bullet"/>
      <w:lvlText w:val="▪"/>
      <w:lvlJc w:val="left"/>
      <w:pPr>
        <w:ind w:left="4580" w:hanging="360"/>
      </w:pPr>
      <w:rPr>
        <w:rFonts w:ascii="Noto Sans Symbols" w:eastAsia="Noto Sans Symbols" w:hAnsi="Noto Sans Symbols" w:cs="Noto Sans Symbols"/>
      </w:rPr>
    </w:lvl>
    <w:lvl w:ilvl="6">
      <w:start w:val="1"/>
      <w:numFmt w:val="bullet"/>
      <w:lvlText w:val="●"/>
      <w:lvlJc w:val="left"/>
      <w:pPr>
        <w:ind w:left="5300" w:hanging="360"/>
      </w:pPr>
      <w:rPr>
        <w:rFonts w:ascii="Noto Sans Symbols" w:eastAsia="Noto Sans Symbols" w:hAnsi="Noto Sans Symbols" w:cs="Noto Sans Symbols"/>
      </w:rPr>
    </w:lvl>
    <w:lvl w:ilvl="7">
      <w:start w:val="1"/>
      <w:numFmt w:val="bullet"/>
      <w:lvlText w:val="o"/>
      <w:lvlJc w:val="left"/>
      <w:pPr>
        <w:ind w:left="6020" w:hanging="360"/>
      </w:pPr>
      <w:rPr>
        <w:rFonts w:ascii="Courier New" w:eastAsia="Courier New" w:hAnsi="Courier New" w:cs="Courier New"/>
      </w:rPr>
    </w:lvl>
    <w:lvl w:ilvl="8">
      <w:start w:val="1"/>
      <w:numFmt w:val="bullet"/>
      <w:lvlText w:val="▪"/>
      <w:lvlJc w:val="left"/>
      <w:pPr>
        <w:ind w:left="6740" w:hanging="360"/>
      </w:pPr>
      <w:rPr>
        <w:rFonts w:ascii="Noto Sans Symbols" w:eastAsia="Noto Sans Symbols" w:hAnsi="Noto Sans Symbols" w:cs="Noto Sans Symbols"/>
      </w:rPr>
    </w:lvl>
  </w:abstractNum>
  <w:abstractNum w:abstractNumId="22" w15:restartNumberingAfterBreak="0">
    <w:nsid w:val="51F14FB5"/>
    <w:multiLevelType w:val="multilevel"/>
    <w:tmpl w:val="42E0E10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4093344"/>
    <w:multiLevelType w:val="multilevel"/>
    <w:tmpl w:val="04C69C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4A80798"/>
    <w:multiLevelType w:val="multilevel"/>
    <w:tmpl w:val="E52EC562"/>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25" w15:restartNumberingAfterBreak="0">
    <w:nsid w:val="54AC0595"/>
    <w:multiLevelType w:val="multilevel"/>
    <w:tmpl w:val="AA10B2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664101F"/>
    <w:multiLevelType w:val="multilevel"/>
    <w:tmpl w:val="37B226BE"/>
    <w:lvl w:ilvl="0">
      <w:start w:val="1"/>
      <w:numFmt w:val="bullet"/>
      <w:pStyle w:val="Puceniveau1"/>
      <w:lvlText w:val="●"/>
      <w:lvlJc w:val="left"/>
      <w:pPr>
        <w:ind w:left="720" w:hanging="360"/>
      </w:pPr>
      <w:rPr>
        <w:rFonts w:ascii="Noto Sans Symbols" w:eastAsia="Noto Sans Symbols" w:hAnsi="Noto Sans Symbols" w:cs="Noto Sans Symbols"/>
      </w:rPr>
    </w:lvl>
    <w:lvl w:ilvl="1">
      <w:start w:val="2"/>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880754D"/>
    <w:multiLevelType w:val="multilevel"/>
    <w:tmpl w:val="04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D3E4C4A"/>
    <w:multiLevelType w:val="multilevel"/>
    <w:tmpl w:val="6D467F32"/>
    <w:lvl w:ilvl="0">
      <w:start w:val="1"/>
      <w:numFmt w:val="bullet"/>
      <w:lvlText w:val="●"/>
      <w:lvlJc w:val="left"/>
      <w:pPr>
        <w:ind w:left="1440" w:hanging="360"/>
      </w:pPr>
      <w:rPr>
        <w:rFonts w:ascii="Noto Sans Symbols" w:eastAsia="Noto Sans Symbols" w:hAnsi="Noto Sans Symbols" w:cs="Noto Sans Symbols"/>
      </w:rPr>
    </w:lvl>
    <w:lvl w:ilvl="1">
      <w:numFmt w:val="bullet"/>
      <w:lvlText w:val="-"/>
      <w:lvlJc w:val="left"/>
      <w:pPr>
        <w:ind w:left="1080" w:hanging="360"/>
      </w:pPr>
      <w:rPr>
        <w:rFonts w:ascii="Calibri" w:eastAsiaTheme="minorEastAsia" w:hAnsi="Calibri" w:cs="Calibri" w:hint="default"/>
      </w:rPr>
    </w:lvl>
    <w:lvl w:ilvl="2">
      <w:start w:val="1"/>
      <w:numFmt w:val="bullet"/>
      <w:lvlText w:val="●"/>
      <w:lvlJc w:val="left"/>
      <w:pPr>
        <w:ind w:left="135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15:restartNumberingAfterBreak="0">
    <w:nsid w:val="5FB445EA"/>
    <w:multiLevelType w:val="multilevel"/>
    <w:tmpl w:val="A9F837E4"/>
    <w:lvl w:ilvl="0">
      <w:start w:val="1"/>
      <w:numFmt w:val="bullet"/>
      <w:pStyle w:val="Encadrnumrotationniveau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49D6AAE"/>
    <w:multiLevelType w:val="multilevel"/>
    <w:tmpl w:val="A9E6495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4FA68C5"/>
    <w:multiLevelType w:val="multilevel"/>
    <w:tmpl w:val="29E6BE0A"/>
    <w:lvl w:ilvl="0">
      <w:start w:val="1"/>
      <w:numFmt w:val="bullet"/>
      <w:lvlText w:val="●"/>
      <w:lvlJc w:val="left"/>
      <w:pPr>
        <w:ind w:left="1440" w:hanging="360"/>
      </w:pPr>
      <w:rPr>
        <w:rFonts w:ascii="Noto Sans Symbols" w:eastAsia="Noto Sans Symbols" w:hAnsi="Noto Sans Symbols" w:cs="Noto Sans Symbols"/>
      </w:rPr>
    </w:lvl>
    <w:lvl w:ilvl="1">
      <w:numFmt w:val="bullet"/>
      <w:lvlText w:val="-"/>
      <w:lvlJc w:val="left"/>
      <w:pPr>
        <w:ind w:left="1080" w:hanging="360"/>
      </w:pPr>
      <w:rPr>
        <w:rFonts w:ascii="Calibri" w:eastAsiaTheme="minorEastAsia" w:hAnsi="Calibri" w:cs="Calibri"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2" w15:restartNumberingAfterBreak="0">
    <w:nsid w:val="7515021C"/>
    <w:multiLevelType w:val="multilevel"/>
    <w:tmpl w:val="E9CE3E8C"/>
    <w:lvl w:ilvl="0">
      <w:start w:val="1"/>
      <w:numFmt w:val="decimal"/>
      <w:pStyle w:val="Titre1"/>
      <w:lvlText w:val="%1."/>
      <w:lvlJc w:val="left"/>
      <w:pPr>
        <w:ind w:left="360" w:hanging="360"/>
      </w:pPr>
      <w:rPr>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8577BBA"/>
    <w:multiLevelType w:val="multilevel"/>
    <w:tmpl w:val="B4E2F498"/>
    <w:lvl w:ilvl="0">
      <w:start w:val="1"/>
      <w:numFmt w:val="lowerLetter"/>
      <w:pStyle w:val="Puce1"/>
      <w:lvlText w:val="%1)"/>
      <w:lvlJc w:val="left"/>
      <w:pPr>
        <w:ind w:left="0" w:firstLine="0"/>
      </w:pPr>
      <w:rPr>
        <w:rFonts w:ascii="Calibri" w:eastAsia="Calibri" w:hAnsi="Calibri" w:cs="Calibri"/>
        <w:b w:val="0"/>
        <w:color w:val="000000"/>
        <w:sz w:val="22"/>
        <w:szCs w:val="22"/>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num w:numId="1" w16cid:durableId="113836617">
    <w:abstractNumId w:val="20"/>
  </w:num>
  <w:num w:numId="2" w16cid:durableId="670719645">
    <w:abstractNumId w:val="16"/>
  </w:num>
  <w:num w:numId="3" w16cid:durableId="1353216450">
    <w:abstractNumId w:val="29"/>
  </w:num>
  <w:num w:numId="4" w16cid:durableId="620645099">
    <w:abstractNumId w:val="26"/>
  </w:num>
  <w:num w:numId="5" w16cid:durableId="836186664">
    <w:abstractNumId w:val="13"/>
  </w:num>
  <w:num w:numId="6" w16cid:durableId="818808573">
    <w:abstractNumId w:val="10"/>
  </w:num>
  <w:num w:numId="7" w16cid:durableId="1950041900">
    <w:abstractNumId w:val="33"/>
  </w:num>
  <w:num w:numId="8" w16cid:durableId="432172006">
    <w:abstractNumId w:val="15"/>
  </w:num>
  <w:num w:numId="9" w16cid:durableId="737050288">
    <w:abstractNumId w:val="21"/>
  </w:num>
  <w:num w:numId="10" w16cid:durableId="1337032555">
    <w:abstractNumId w:val="7"/>
  </w:num>
  <w:num w:numId="11" w16cid:durableId="1644390321">
    <w:abstractNumId w:val="31"/>
  </w:num>
  <w:num w:numId="12" w16cid:durableId="1247035271">
    <w:abstractNumId w:val="22"/>
  </w:num>
  <w:num w:numId="13" w16cid:durableId="391468013">
    <w:abstractNumId w:val="14"/>
  </w:num>
  <w:num w:numId="14" w16cid:durableId="1986351569">
    <w:abstractNumId w:val="17"/>
  </w:num>
  <w:num w:numId="15" w16cid:durableId="180242145">
    <w:abstractNumId w:val="12"/>
  </w:num>
  <w:num w:numId="16" w16cid:durableId="1857619179">
    <w:abstractNumId w:val="23"/>
  </w:num>
  <w:num w:numId="17" w16cid:durableId="1154448389">
    <w:abstractNumId w:val="11"/>
  </w:num>
  <w:num w:numId="18" w16cid:durableId="1549224308">
    <w:abstractNumId w:val="6"/>
  </w:num>
  <w:num w:numId="19" w16cid:durableId="12000850">
    <w:abstractNumId w:val="3"/>
  </w:num>
  <w:num w:numId="20" w16cid:durableId="1181702717">
    <w:abstractNumId w:val="1"/>
  </w:num>
  <w:num w:numId="21" w16cid:durableId="757604804">
    <w:abstractNumId w:val="9"/>
  </w:num>
  <w:num w:numId="22" w16cid:durableId="2138136779">
    <w:abstractNumId w:val="2"/>
  </w:num>
  <w:num w:numId="23" w16cid:durableId="101463320">
    <w:abstractNumId w:val="32"/>
  </w:num>
  <w:num w:numId="24" w16cid:durableId="1896700542">
    <w:abstractNumId w:val="0"/>
  </w:num>
  <w:num w:numId="25" w16cid:durableId="1872574820">
    <w:abstractNumId w:val="30"/>
  </w:num>
  <w:num w:numId="26" w16cid:durableId="729423932">
    <w:abstractNumId w:val="8"/>
  </w:num>
  <w:num w:numId="27" w16cid:durableId="1336033040">
    <w:abstractNumId w:val="19"/>
  </w:num>
  <w:num w:numId="28" w16cid:durableId="877856657">
    <w:abstractNumId w:val="25"/>
  </w:num>
  <w:num w:numId="29" w16cid:durableId="1873489857">
    <w:abstractNumId w:val="24"/>
  </w:num>
  <w:num w:numId="30" w16cid:durableId="650526808">
    <w:abstractNumId w:val="18"/>
  </w:num>
  <w:num w:numId="31" w16cid:durableId="955914283">
    <w:abstractNumId w:val="27"/>
  </w:num>
  <w:num w:numId="32" w16cid:durableId="237598928">
    <w:abstractNumId w:val="4"/>
  </w:num>
  <w:num w:numId="33" w16cid:durableId="1567645728">
    <w:abstractNumId w:val="5"/>
  </w:num>
  <w:num w:numId="34" w16cid:durableId="14274390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DB6"/>
    <w:rsid w:val="000000FF"/>
    <w:rsid w:val="00032D83"/>
    <w:rsid w:val="00044129"/>
    <w:rsid w:val="0009515A"/>
    <w:rsid w:val="000F5E32"/>
    <w:rsid w:val="0010365E"/>
    <w:rsid w:val="002A0593"/>
    <w:rsid w:val="002B36F3"/>
    <w:rsid w:val="003A5363"/>
    <w:rsid w:val="00464807"/>
    <w:rsid w:val="00536C8B"/>
    <w:rsid w:val="00542FD4"/>
    <w:rsid w:val="00544A42"/>
    <w:rsid w:val="005D7A7A"/>
    <w:rsid w:val="005E60F2"/>
    <w:rsid w:val="006B1DB6"/>
    <w:rsid w:val="0076484B"/>
    <w:rsid w:val="0078141B"/>
    <w:rsid w:val="007D76F1"/>
    <w:rsid w:val="008212C8"/>
    <w:rsid w:val="00824DE0"/>
    <w:rsid w:val="00844031"/>
    <w:rsid w:val="008E15F4"/>
    <w:rsid w:val="009135DA"/>
    <w:rsid w:val="009411BB"/>
    <w:rsid w:val="0094706A"/>
    <w:rsid w:val="00953AE4"/>
    <w:rsid w:val="00955AF6"/>
    <w:rsid w:val="00962C80"/>
    <w:rsid w:val="00982A74"/>
    <w:rsid w:val="009B210F"/>
    <w:rsid w:val="009F2DA6"/>
    <w:rsid w:val="00A05681"/>
    <w:rsid w:val="00A30C23"/>
    <w:rsid w:val="00A450A2"/>
    <w:rsid w:val="00A87DDC"/>
    <w:rsid w:val="00AB55E6"/>
    <w:rsid w:val="00AE12D1"/>
    <w:rsid w:val="00AF1F77"/>
    <w:rsid w:val="00B4696F"/>
    <w:rsid w:val="00B71608"/>
    <w:rsid w:val="00C02574"/>
    <w:rsid w:val="00C157A8"/>
    <w:rsid w:val="00CA14D8"/>
    <w:rsid w:val="00D30A61"/>
    <w:rsid w:val="00D436F2"/>
    <w:rsid w:val="00D47F79"/>
    <w:rsid w:val="00E11E93"/>
    <w:rsid w:val="00E1384E"/>
    <w:rsid w:val="00E15402"/>
    <w:rsid w:val="00E86B38"/>
    <w:rsid w:val="00ED4087"/>
    <w:rsid w:val="00ED5627"/>
    <w:rsid w:val="00EF0C11"/>
    <w:rsid w:val="00F05968"/>
    <w:rsid w:val="00F4051F"/>
    <w:rsid w:val="00F77D43"/>
    <w:rsid w:val="00F80E92"/>
    <w:rsid w:val="00FE4E4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3BFE2C"/>
  <w15:docId w15:val="{0A953E58-E539-4168-896E-C8898B1AA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557"/>
    <w:rPr>
      <w:rFonts w:eastAsiaTheme="minorEastAsia"/>
    </w:rPr>
  </w:style>
  <w:style w:type="paragraph" w:styleId="Titre1">
    <w:name w:val="heading 1"/>
    <w:aliases w:val="Titre du document"/>
    <w:basedOn w:val="BasicParagraph"/>
    <w:next w:val="Normal"/>
    <w:link w:val="Titre1Car"/>
    <w:uiPriority w:val="9"/>
    <w:qFormat/>
    <w:rsid w:val="00F4051F"/>
    <w:pPr>
      <w:numPr>
        <w:numId w:val="23"/>
      </w:numPr>
      <w:suppressAutoHyphens/>
      <w:ind w:left="648" w:right="-432"/>
      <w:outlineLvl w:val="0"/>
    </w:pPr>
    <w:rPr>
      <w:rFonts w:asciiTheme="minorHAnsi" w:hAnsiTheme="minorHAnsi" w:cstheme="minorHAnsi"/>
      <w:b/>
      <w:bCs/>
      <w:caps/>
      <w:color w:val="243A68" w:themeColor="text2"/>
      <w:sz w:val="30"/>
      <w:szCs w:val="30"/>
    </w:rPr>
  </w:style>
  <w:style w:type="paragraph" w:styleId="Titre2">
    <w:name w:val="heading 2"/>
    <w:basedOn w:val="Normal"/>
    <w:next w:val="Normal"/>
    <w:link w:val="Titre2Car"/>
    <w:uiPriority w:val="9"/>
    <w:unhideWhenUsed/>
    <w:qFormat/>
    <w:rsid w:val="00670CCD"/>
    <w:pPr>
      <w:keepNext/>
      <w:keepLines/>
      <w:spacing w:after="120"/>
      <w:ind w:left="630" w:hanging="630"/>
      <w:outlineLvl w:val="1"/>
    </w:pPr>
    <w:rPr>
      <w:rFonts w:eastAsiaTheme="majorEastAsia" w:cstheme="majorBidi"/>
      <w:b/>
      <w:caps/>
      <w:color w:val="5A5E5F"/>
      <w:sz w:val="26"/>
      <w:szCs w:val="26"/>
    </w:rPr>
  </w:style>
  <w:style w:type="paragraph" w:styleId="Titre3">
    <w:name w:val="heading 3"/>
    <w:basedOn w:val="Normal"/>
    <w:next w:val="Normal"/>
    <w:link w:val="Titre3Car"/>
    <w:uiPriority w:val="9"/>
    <w:semiHidden/>
    <w:unhideWhenUsed/>
    <w:qFormat/>
    <w:rsid w:val="00FE4063"/>
    <w:pPr>
      <w:keepNext/>
      <w:keepLines/>
      <w:spacing w:before="320" w:after="320" w:line="276" w:lineRule="auto"/>
      <w:ind w:left="720" w:hanging="720"/>
      <w:outlineLvl w:val="2"/>
    </w:pPr>
    <w:rPr>
      <w:rFonts w:asciiTheme="majorHAnsi" w:eastAsiaTheme="majorEastAsia" w:hAnsiTheme="majorHAnsi" w:cstheme="majorBidi"/>
      <w:bCs/>
      <w:i/>
      <w:smallCaps/>
      <w:color w:val="595E5F" w:themeColor="text1"/>
      <w:u w:val="single"/>
    </w:rPr>
  </w:style>
  <w:style w:type="paragraph" w:styleId="Titre4">
    <w:name w:val="heading 4"/>
    <w:basedOn w:val="Normal"/>
    <w:next w:val="Normal"/>
    <w:link w:val="Titre4Car"/>
    <w:uiPriority w:val="9"/>
    <w:semiHidden/>
    <w:unhideWhenUsed/>
    <w:qFormat/>
    <w:rsid w:val="00FE4063"/>
    <w:pPr>
      <w:keepNext/>
      <w:keepLines/>
      <w:spacing w:before="200" w:line="276" w:lineRule="auto"/>
      <w:ind w:left="864" w:hanging="864"/>
      <w:outlineLvl w:val="3"/>
    </w:pPr>
    <w:rPr>
      <w:rFonts w:asciiTheme="majorHAnsi" w:eastAsiaTheme="majorEastAsia" w:hAnsiTheme="majorHAnsi" w:cstheme="majorBidi"/>
      <w:b/>
      <w:bCs/>
      <w:i/>
      <w:iCs/>
      <w:color w:val="50BDE9" w:themeColor="accent1"/>
    </w:rPr>
  </w:style>
  <w:style w:type="paragraph" w:styleId="Titre5">
    <w:name w:val="heading 5"/>
    <w:basedOn w:val="Normal"/>
    <w:next w:val="Normal"/>
    <w:link w:val="Titre5Car"/>
    <w:uiPriority w:val="9"/>
    <w:semiHidden/>
    <w:unhideWhenUsed/>
    <w:qFormat/>
    <w:rsid w:val="00FE4063"/>
    <w:pPr>
      <w:keepNext/>
      <w:keepLines/>
      <w:spacing w:before="200" w:line="276" w:lineRule="auto"/>
      <w:ind w:left="1008" w:hanging="1008"/>
      <w:outlineLvl w:val="4"/>
    </w:pPr>
    <w:rPr>
      <w:rFonts w:asciiTheme="majorHAnsi" w:eastAsiaTheme="majorEastAsia" w:hAnsiTheme="majorHAnsi" w:cstheme="majorBidi"/>
      <w:color w:val="11678A" w:themeColor="accent1" w:themeShade="7F"/>
    </w:rPr>
  </w:style>
  <w:style w:type="paragraph" w:styleId="Titre6">
    <w:name w:val="heading 6"/>
    <w:basedOn w:val="Normal"/>
    <w:next w:val="Normal"/>
    <w:link w:val="Titre6Car"/>
    <w:uiPriority w:val="9"/>
    <w:semiHidden/>
    <w:unhideWhenUsed/>
    <w:qFormat/>
    <w:rsid w:val="00FE4063"/>
    <w:pPr>
      <w:keepNext/>
      <w:keepLines/>
      <w:spacing w:before="200" w:line="276" w:lineRule="auto"/>
      <w:ind w:left="1152" w:hanging="1152"/>
      <w:outlineLvl w:val="5"/>
    </w:pPr>
    <w:rPr>
      <w:rFonts w:asciiTheme="majorHAnsi" w:eastAsiaTheme="majorEastAsia" w:hAnsiTheme="majorHAnsi" w:cstheme="majorBidi"/>
      <w:i/>
      <w:iCs/>
      <w:color w:val="11678A" w:themeColor="accent1" w:themeShade="7F"/>
    </w:rPr>
  </w:style>
  <w:style w:type="paragraph" w:styleId="Titre7">
    <w:name w:val="heading 7"/>
    <w:basedOn w:val="Normal"/>
    <w:next w:val="Normal"/>
    <w:link w:val="Titre7Car"/>
    <w:uiPriority w:val="9"/>
    <w:semiHidden/>
    <w:unhideWhenUsed/>
    <w:qFormat/>
    <w:rsid w:val="00FE4063"/>
    <w:pPr>
      <w:keepNext/>
      <w:keepLines/>
      <w:spacing w:before="200" w:line="276" w:lineRule="auto"/>
      <w:ind w:left="1296" w:hanging="1296"/>
      <w:outlineLvl w:val="6"/>
    </w:pPr>
    <w:rPr>
      <w:rFonts w:asciiTheme="majorHAnsi" w:eastAsiaTheme="majorEastAsia" w:hAnsiTheme="majorHAnsi" w:cstheme="majorBidi"/>
      <w:i/>
      <w:iCs/>
      <w:color w:val="808788" w:themeColor="text1" w:themeTint="BF"/>
    </w:rPr>
  </w:style>
  <w:style w:type="paragraph" w:styleId="Titre8">
    <w:name w:val="heading 8"/>
    <w:basedOn w:val="Normal"/>
    <w:next w:val="Normal"/>
    <w:link w:val="Titre8Car"/>
    <w:uiPriority w:val="9"/>
    <w:semiHidden/>
    <w:unhideWhenUsed/>
    <w:qFormat/>
    <w:rsid w:val="00FE4063"/>
    <w:pPr>
      <w:keepNext/>
      <w:keepLines/>
      <w:spacing w:before="200" w:line="276" w:lineRule="auto"/>
      <w:ind w:left="1440" w:hanging="1440"/>
      <w:outlineLvl w:val="7"/>
    </w:pPr>
    <w:rPr>
      <w:rFonts w:asciiTheme="majorHAnsi" w:eastAsiaTheme="majorEastAsia" w:hAnsiTheme="majorHAnsi" w:cstheme="majorBidi"/>
      <w:color w:val="808788" w:themeColor="text1" w:themeTint="BF"/>
      <w:sz w:val="20"/>
      <w:szCs w:val="20"/>
    </w:rPr>
  </w:style>
  <w:style w:type="paragraph" w:styleId="Titre9">
    <w:name w:val="heading 9"/>
    <w:basedOn w:val="Normal"/>
    <w:next w:val="Normal"/>
    <w:link w:val="Titre9Car"/>
    <w:uiPriority w:val="9"/>
    <w:semiHidden/>
    <w:unhideWhenUsed/>
    <w:qFormat/>
    <w:rsid w:val="00FE4063"/>
    <w:pPr>
      <w:keepNext/>
      <w:keepLines/>
      <w:spacing w:before="200" w:line="276" w:lineRule="auto"/>
      <w:ind w:left="1584" w:hanging="1584"/>
      <w:outlineLvl w:val="8"/>
    </w:pPr>
    <w:rPr>
      <w:rFonts w:asciiTheme="majorHAnsi" w:eastAsiaTheme="majorEastAsia" w:hAnsiTheme="majorHAnsi" w:cstheme="majorBidi"/>
      <w:i/>
      <w:iCs/>
      <w:color w:val="808788"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Paragraphedeliste"/>
    <w:next w:val="Normal"/>
    <w:link w:val="TitreCar"/>
    <w:uiPriority w:val="10"/>
    <w:qFormat/>
    <w:rsid w:val="0084701B"/>
    <w:pPr>
      <w:tabs>
        <w:tab w:val="left" w:pos="1080"/>
      </w:tabs>
      <w:suppressAutoHyphens/>
      <w:autoSpaceDE w:val="0"/>
      <w:autoSpaceDN w:val="0"/>
      <w:adjustRightInd w:val="0"/>
      <w:spacing w:after="90" w:line="280" w:lineRule="atLeast"/>
      <w:ind w:left="0"/>
      <w:textAlignment w:val="center"/>
    </w:pPr>
    <w:rPr>
      <w:rFonts w:eastAsiaTheme="minorHAnsi" w:cstheme="minorHAnsi"/>
      <w:b/>
      <w:bCs/>
      <w:color w:val="174A7C"/>
      <w:spacing w:val="-4"/>
      <w:sz w:val="32"/>
      <w:szCs w:val="32"/>
      <w:u w:color="000000"/>
    </w:rPr>
  </w:style>
  <w:style w:type="table" w:customStyle="1" w:styleId="TableNormal2">
    <w:name w:val="Table Normal2"/>
    <w:tblPr>
      <w:tblCellMar>
        <w:top w:w="0" w:type="dxa"/>
        <w:left w:w="0" w:type="dxa"/>
        <w:bottom w:w="0" w:type="dxa"/>
        <w:right w:w="0" w:type="dxa"/>
      </w:tblCellMar>
    </w:tblPr>
  </w:style>
  <w:style w:type="paragraph" w:styleId="En-tte">
    <w:name w:val="header"/>
    <w:basedOn w:val="Normal"/>
    <w:link w:val="En-tteCar"/>
    <w:uiPriority w:val="99"/>
    <w:unhideWhenUsed/>
    <w:rsid w:val="00810A2F"/>
    <w:pPr>
      <w:tabs>
        <w:tab w:val="center" w:pos="4680"/>
        <w:tab w:val="right" w:pos="9360"/>
      </w:tabs>
    </w:pPr>
  </w:style>
  <w:style w:type="character" w:customStyle="1" w:styleId="En-tteCar">
    <w:name w:val="En-tête Car"/>
    <w:basedOn w:val="Policepardfaut"/>
    <w:link w:val="En-tte"/>
    <w:uiPriority w:val="99"/>
    <w:rsid w:val="00810A2F"/>
    <w:rPr>
      <w:rFonts w:eastAsiaTheme="minorEastAsia"/>
      <w:sz w:val="24"/>
      <w:szCs w:val="24"/>
      <w:lang w:val="en-CA"/>
    </w:rPr>
  </w:style>
  <w:style w:type="paragraph" w:styleId="Pieddepage">
    <w:name w:val="footer"/>
    <w:basedOn w:val="Normal"/>
    <w:link w:val="PieddepageCar"/>
    <w:uiPriority w:val="99"/>
    <w:unhideWhenUsed/>
    <w:rsid w:val="00810A2F"/>
    <w:pPr>
      <w:tabs>
        <w:tab w:val="center" w:pos="4680"/>
        <w:tab w:val="right" w:pos="9360"/>
      </w:tabs>
    </w:pPr>
  </w:style>
  <w:style w:type="character" w:customStyle="1" w:styleId="PieddepageCar">
    <w:name w:val="Pied de page Car"/>
    <w:basedOn w:val="Policepardfaut"/>
    <w:link w:val="Pieddepage"/>
    <w:uiPriority w:val="99"/>
    <w:rsid w:val="00810A2F"/>
    <w:rPr>
      <w:rFonts w:eastAsiaTheme="minorEastAsia"/>
      <w:sz w:val="24"/>
      <w:szCs w:val="24"/>
      <w:lang w:val="en-CA"/>
    </w:rPr>
  </w:style>
  <w:style w:type="paragraph" w:customStyle="1" w:styleId="BasicParagraph">
    <w:name w:val="[Basic Paragraph]"/>
    <w:basedOn w:val="Normal"/>
    <w:link w:val="BasicParagraphCar"/>
    <w:uiPriority w:val="99"/>
    <w:rsid w:val="00810A2F"/>
    <w:pPr>
      <w:autoSpaceDE w:val="0"/>
      <w:autoSpaceDN w:val="0"/>
      <w:adjustRightInd w:val="0"/>
      <w:spacing w:line="280" w:lineRule="atLeast"/>
      <w:textAlignment w:val="center"/>
    </w:pPr>
    <w:rPr>
      <w:rFonts w:ascii="National Book" w:eastAsiaTheme="minorHAnsi" w:hAnsi="National Book" w:cs="National Book"/>
      <w:color w:val="000000"/>
    </w:rPr>
  </w:style>
  <w:style w:type="character" w:styleId="Numrodepage">
    <w:name w:val="page number"/>
    <w:basedOn w:val="Policepardfaut"/>
    <w:uiPriority w:val="99"/>
    <w:semiHidden/>
    <w:unhideWhenUsed/>
    <w:rsid w:val="00810A2F"/>
  </w:style>
  <w:style w:type="paragraph" w:customStyle="1" w:styleId="Typededocument">
    <w:name w:val="Type de document"/>
    <w:basedOn w:val="En-tte"/>
    <w:link w:val="TypededocumentCar"/>
    <w:rsid w:val="00810A2F"/>
    <w:pPr>
      <w:suppressAutoHyphens/>
      <w:snapToGrid w:val="0"/>
      <w:contextualSpacing/>
      <w:jc w:val="right"/>
    </w:pPr>
    <w:rPr>
      <w:rFonts w:cs="National Bold"/>
      <w:b/>
      <w:caps/>
      <w:color w:val="FFFFFF" w:themeColor="background1"/>
      <w:sz w:val="32"/>
      <w:szCs w:val="32"/>
      <w14:textOutline w14:w="9525" w14:cap="flat" w14:cmpd="sng" w14:algn="ctr">
        <w14:noFill/>
        <w14:prstDash w14:val="solid"/>
        <w14:round/>
      </w14:textOutline>
    </w:rPr>
  </w:style>
  <w:style w:type="character" w:customStyle="1" w:styleId="TypededocumentCar">
    <w:name w:val="Type de document Car"/>
    <w:basedOn w:val="En-tteCar"/>
    <w:link w:val="Typededocument"/>
    <w:rsid w:val="00810A2F"/>
    <w:rPr>
      <w:rFonts w:ascii="Calibri" w:eastAsiaTheme="minorEastAsia" w:hAnsi="Calibri" w:cs="National Bold"/>
      <w:b/>
      <w:caps/>
      <w:color w:val="FFFFFF" w:themeColor="background1"/>
      <w:sz w:val="32"/>
      <w:szCs w:val="32"/>
      <w:lang w:val="en-CA"/>
      <w14:textOutline w14:w="9525" w14:cap="flat" w14:cmpd="sng" w14:algn="ctr">
        <w14:noFill/>
        <w14:prstDash w14:val="solid"/>
        <w14:round/>
      </w14:textOutline>
    </w:rPr>
  </w:style>
  <w:style w:type="character" w:customStyle="1" w:styleId="BasicParagraphCar">
    <w:name w:val="[Basic Paragraph] Car"/>
    <w:basedOn w:val="Policepardfaut"/>
    <w:link w:val="BasicParagraph"/>
    <w:uiPriority w:val="99"/>
    <w:rsid w:val="00810A2F"/>
    <w:rPr>
      <w:rFonts w:ascii="National Book" w:hAnsi="National Book" w:cs="National Book"/>
      <w:color w:val="000000"/>
    </w:rPr>
  </w:style>
  <w:style w:type="table" w:styleId="Grilledutableau">
    <w:name w:val="Table Grid"/>
    <w:basedOn w:val="TableauNormal"/>
    <w:uiPriority w:val="59"/>
    <w:rsid w:val="00810A2F"/>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aliases w:val="Titre du document Car"/>
    <w:basedOn w:val="Policepardfaut"/>
    <w:link w:val="Titre1"/>
    <w:uiPriority w:val="9"/>
    <w:rsid w:val="00F4051F"/>
    <w:rPr>
      <w:rFonts w:asciiTheme="minorHAnsi" w:eastAsiaTheme="minorHAnsi" w:hAnsiTheme="minorHAnsi" w:cstheme="minorHAnsi"/>
      <w:b/>
      <w:bCs/>
      <w:caps/>
      <w:color w:val="243A68" w:themeColor="text2"/>
      <w:sz w:val="30"/>
      <w:szCs w:val="30"/>
    </w:rPr>
  </w:style>
  <w:style w:type="paragraph" w:styleId="Sansinterligne">
    <w:name w:val="No Spacing"/>
    <w:aliases w:val="Texte"/>
    <w:basedOn w:val="BasicParagraph"/>
    <w:uiPriority w:val="1"/>
    <w:qFormat/>
    <w:rsid w:val="008A6255"/>
    <w:pPr>
      <w:suppressAutoHyphens/>
      <w:ind w:left="-720"/>
      <w:jc w:val="both"/>
    </w:pPr>
    <w:rPr>
      <w:rFonts w:asciiTheme="minorHAnsi" w:hAnsiTheme="minorHAnsi" w:cstheme="minorHAnsi"/>
    </w:rPr>
  </w:style>
  <w:style w:type="character" w:customStyle="1" w:styleId="soulignbold">
    <w:name w:val="souligné bold"/>
    <w:uiPriority w:val="99"/>
    <w:rsid w:val="00810A2F"/>
    <w:rPr>
      <w:rFonts w:ascii="National Bold Italic" w:hAnsi="National Bold Italic" w:cs="National Bold Italic"/>
      <w:b/>
      <w:bCs/>
      <w:i/>
      <w:iCs/>
      <w:sz w:val="22"/>
      <w:szCs w:val="22"/>
      <w:u w:val="thick" w:color="F0554E"/>
      <w:lang w:val="fr-CA"/>
    </w:rPr>
  </w:style>
  <w:style w:type="paragraph" w:customStyle="1" w:styleId="Numrotationniveau1">
    <w:name w:val="Numérotation niveau 1"/>
    <w:basedOn w:val="BasicParagraph"/>
    <w:link w:val="Numrotationniveau1Car"/>
    <w:rsid w:val="00215658"/>
    <w:pPr>
      <w:numPr>
        <w:numId w:val="2"/>
      </w:numPr>
      <w:pBdr>
        <w:bottom w:val="single" w:sz="6" w:space="9" w:color="5A5E5F"/>
        <w:between w:val="single" w:sz="6" w:space="1" w:color="5A5E5F"/>
      </w:pBdr>
      <w:tabs>
        <w:tab w:val="left" w:pos="1081"/>
      </w:tabs>
      <w:suppressAutoHyphens/>
      <w:spacing w:before="120" w:after="120"/>
      <w:ind w:left="-450" w:right="54" w:hanging="274"/>
    </w:pPr>
    <w:rPr>
      <w:rFonts w:cstheme="minorHAnsi"/>
    </w:rPr>
  </w:style>
  <w:style w:type="character" w:customStyle="1" w:styleId="Numrotationniveau1Car">
    <w:name w:val="Numérotation niveau 1 Car"/>
    <w:basedOn w:val="BasicParagraphCar"/>
    <w:link w:val="Numrotationniveau1"/>
    <w:rsid w:val="00215658"/>
    <w:rPr>
      <w:rFonts w:ascii="National Book" w:hAnsi="National Book" w:cstheme="minorHAnsi"/>
      <w:color w:val="000000"/>
    </w:rPr>
  </w:style>
  <w:style w:type="paragraph" w:customStyle="1" w:styleId="Encadrtitre">
    <w:name w:val="Encadré titre"/>
    <w:basedOn w:val="Normal"/>
    <w:link w:val="EncadrtitreCar"/>
    <w:rsid w:val="003A4D14"/>
    <w:pPr>
      <w:jc w:val="both"/>
    </w:pPr>
    <w:rPr>
      <w:rFonts w:eastAsia="Times New Roman" w:cstheme="minorHAnsi"/>
      <w:b/>
      <w:bCs/>
      <w:color w:val="243A68"/>
    </w:rPr>
  </w:style>
  <w:style w:type="paragraph" w:customStyle="1" w:styleId="Encadrnumrotationniveau1">
    <w:name w:val="Encadré numérotation niveau 1"/>
    <w:basedOn w:val="BasicParagraph"/>
    <w:link w:val="Encadrnumrotationniveau1Car"/>
    <w:rsid w:val="003A4D14"/>
    <w:pPr>
      <w:numPr>
        <w:numId w:val="3"/>
      </w:numPr>
      <w:tabs>
        <w:tab w:val="left" w:pos="1080"/>
      </w:tabs>
      <w:suppressAutoHyphens/>
      <w:ind w:right="180"/>
      <w:jc w:val="both"/>
    </w:pPr>
    <w:rPr>
      <w:rFonts w:asciiTheme="minorHAnsi" w:hAnsiTheme="minorHAnsi" w:cstheme="minorHAnsi"/>
    </w:rPr>
  </w:style>
  <w:style w:type="character" w:customStyle="1" w:styleId="EncadrtitreCar">
    <w:name w:val="Encadré titre Car"/>
    <w:basedOn w:val="Policepardfaut"/>
    <w:link w:val="Encadrtitre"/>
    <w:rsid w:val="003A4D14"/>
    <w:rPr>
      <w:rFonts w:eastAsia="Times New Roman" w:cstheme="minorHAnsi"/>
      <w:b/>
      <w:bCs/>
      <w:color w:val="243A68"/>
      <w:sz w:val="24"/>
      <w:szCs w:val="24"/>
    </w:rPr>
  </w:style>
  <w:style w:type="paragraph" w:customStyle="1" w:styleId="Encadrnumrotationniveau2">
    <w:name w:val="Encadré numérotation niveau 2"/>
    <w:basedOn w:val="BasicParagraph"/>
    <w:link w:val="Encadrnumrotationniveau2Car"/>
    <w:rsid w:val="00810A2F"/>
    <w:pPr>
      <w:numPr>
        <w:numId w:val="1"/>
      </w:numPr>
      <w:tabs>
        <w:tab w:val="left" w:pos="1440"/>
      </w:tabs>
      <w:suppressAutoHyphens/>
      <w:ind w:left="630" w:right="180" w:hanging="270"/>
    </w:pPr>
    <w:rPr>
      <w:rFonts w:cstheme="minorHAnsi"/>
      <w:u w:color="000000"/>
    </w:rPr>
  </w:style>
  <w:style w:type="character" w:customStyle="1" w:styleId="Encadrnumrotationniveau1Car">
    <w:name w:val="Encadré numérotation niveau 1 Car"/>
    <w:basedOn w:val="BasicParagraphCar"/>
    <w:link w:val="Encadrnumrotationniveau1"/>
    <w:rsid w:val="003A4D14"/>
    <w:rPr>
      <w:rFonts w:ascii="National Book" w:hAnsi="National Book" w:cstheme="minorHAnsi"/>
      <w:color w:val="000000"/>
    </w:rPr>
  </w:style>
  <w:style w:type="paragraph" w:customStyle="1" w:styleId="Encadrtexte">
    <w:name w:val="Encadré texte"/>
    <w:basedOn w:val="BasicParagraph"/>
    <w:link w:val="EncadrtexteCar"/>
    <w:rsid w:val="003A4D14"/>
    <w:pPr>
      <w:suppressAutoHyphens/>
      <w:ind w:right="1"/>
      <w:jc w:val="both"/>
    </w:pPr>
    <w:rPr>
      <w:rFonts w:cstheme="minorHAnsi"/>
      <w:u w:color="000000"/>
    </w:rPr>
  </w:style>
  <w:style w:type="character" w:customStyle="1" w:styleId="Encadrnumrotationniveau2Car">
    <w:name w:val="Encadré numérotation niveau 2 Car"/>
    <w:basedOn w:val="BasicParagraphCar"/>
    <w:link w:val="Encadrnumrotationniveau2"/>
    <w:rsid w:val="00810A2F"/>
    <w:rPr>
      <w:rFonts w:ascii="National Book" w:hAnsi="National Book" w:cstheme="minorHAnsi"/>
      <w:color w:val="000000"/>
      <w:u w:color="000000"/>
    </w:rPr>
  </w:style>
  <w:style w:type="character" w:customStyle="1" w:styleId="EncadrtexteCar">
    <w:name w:val="Encadré texte Car"/>
    <w:basedOn w:val="BasicParagraphCar"/>
    <w:link w:val="Encadrtexte"/>
    <w:rsid w:val="003A4D14"/>
    <w:rPr>
      <w:rFonts w:ascii="National Book" w:hAnsi="National Book" w:cstheme="minorHAnsi"/>
      <w:color w:val="000000"/>
      <w:u w:color="000000"/>
    </w:rPr>
  </w:style>
  <w:style w:type="character" w:customStyle="1" w:styleId="TitreCar">
    <w:name w:val="Titre Car"/>
    <w:basedOn w:val="Policepardfaut"/>
    <w:link w:val="Titre"/>
    <w:uiPriority w:val="10"/>
    <w:rsid w:val="0084701B"/>
    <w:rPr>
      <w:rFonts w:cstheme="minorHAnsi"/>
      <w:b/>
      <w:bCs/>
      <w:color w:val="174A7C"/>
      <w:spacing w:val="-4"/>
      <w:sz w:val="32"/>
      <w:szCs w:val="32"/>
      <w:u w:color="000000"/>
    </w:rPr>
  </w:style>
  <w:style w:type="paragraph" w:customStyle="1" w:styleId="Titreniveau1">
    <w:name w:val="Titre niveau 1"/>
    <w:basedOn w:val="Titre"/>
    <w:link w:val="Titreniveau1Char"/>
    <w:autoRedefine/>
    <w:qFormat/>
    <w:rsid w:val="0077362E"/>
    <w:pPr>
      <w:numPr>
        <w:numId w:val="32"/>
      </w:numPr>
      <w:tabs>
        <w:tab w:val="clear" w:pos="1080"/>
        <w:tab w:val="left" w:pos="360"/>
        <w:tab w:val="left" w:pos="720"/>
      </w:tabs>
      <w:spacing w:after="240"/>
    </w:pPr>
    <w:rPr>
      <w:caps/>
    </w:rPr>
  </w:style>
  <w:style w:type="paragraph" w:customStyle="1" w:styleId="Titreniveau2">
    <w:name w:val="Titre niveau 2"/>
    <w:basedOn w:val="Paragraphedeliste"/>
    <w:next w:val="Normal"/>
    <w:link w:val="Titreniveau2Car"/>
    <w:qFormat/>
    <w:rsid w:val="001C7C45"/>
    <w:pPr>
      <w:tabs>
        <w:tab w:val="left" w:pos="540"/>
      </w:tabs>
      <w:suppressAutoHyphens/>
      <w:autoSpaceDE w:val="0"/>
      <w:autoSpaceDN w:val="0"/>
      <w:adjustRightInd w:val="0"/>
      <w:spacing w:after="120" w:line="280" w:lineRule="atLeast"/>
      <w:ind w:left="0"/>
      <w:jc w:val="both"/>
      <w:textAlignment w:val="center"/>
    </w:pPr>
    <w:rPr>
      <w:rFonts w:eastAsiaTheme="minorHAnsi" w:cstheme="minorHAnsi"/>
      <w:b/>
      <w:bCs/>
      <w:caps/>
      <w:color w:val="5A5E5F"/>
      <w:sz w:val="26"/>
      <w:szCs w:val="26"/>
      <w:u w:color="000000"/>
    </w:rPr>
  </w:style>
  <w:style w:type="character" w:customStyle="1" w:styleId="Titreniveau1Char">
    <w:name w:val="Titre niveau 1 Char"/>
    <w:basedOn w:val="TitreCar"/>
    <w:link w:val="Titreniveau1"/>
    <w:rsid w:val="0077362E"/>
    <w:rPr>
      <w:rFonts w:cstheme="minorHAnsi"/>
      <w:b/>
      <w:bCs/>
      <w:caps/>
      <w:color w:val="174A7C"/>
      <w:spacing w:val="-4"/>
      <w:sz w:val="32"/>
      <w:szCs w:val="32"/>
      <w:u w:color="000000"/>
    </w:rPr>
  </w:style>
  <w:style w:type="paragraph" w:customStyle="1" w:styleId="Tableautitrecolonne">
    <w:name w:val="Tableau titre colonne"/>
    <w:basedOn w:val="Normal"/>
    <w:link w:val="TableautitrecolonneCar"/>
    <w:rsid w:val="008A6255"/>
    <w:pPr>
      <w:suppressAutoHyphens/>
      <w:autoSpaceDE w:val="0"/>
      <w:autoSpaceDN w:val="0"/>
      <w:adjustRightInd w:val="0"/>
      <w:spacing w:before="60" w:after="60" w:line="280" w:lineRule="atLeast"/>
      <w:textAlignment w:val="center"/>
    </w:pPr>
    <w:rPr>
      <w:rFonts w:eastAsiaTheme="minorHAnsi" w:cstheme="minorHAnsi"/>
      <w:b/>
      <w:bCs/>
      <w:color w:val="FFFFFF" w:themeColor="background1"/>
      <w14:textOutline w14:w="9525" w14:cap="flat" w14:cmpd="sng" w14:algn="ctr">
        <w14:noFill/>
        <w14:prstDash w14:val="solid"/>
        <w14:round/>
      </w14:textOutline>
    </w:rPr>
  </w:style>
  <w:style w:type="character" w:customStyle="1" w:styleId="Titreniveau2Car">
    <w:name w:val="Titre niveau 2 Car"/>
    <w:basedOn w:val="Policepardfaut"/>
    <w:link w:val="Titreniveau2"/>
    <w:rsid w:val="001C7C45"/>
    <w:rPr>
      <w:rFonts w:cstheme="minorHAnsi"/>
      <w:b/>
      <w:bCs/>
      <w:caps/>
      <w:color w:val="5A5E5F"/>
      <w:sz w:val="26"/>
      <w:szCs w:val="26"/>
      <w:u w:color="000000"/>
    </w:rPr>
  </w:style>
  <w:style w:type="paragraph" w:customStyle="1" w:styleId="Tableaulment">
    <w:name w:val="Tableau élément"/>
    <w:basedOn w:val="Normal"/>
    <w:link w:val="TableaulmentCar"/>
    <w:rsid w:val="008A6255"/>
    <w:pPr>
      <w:suppressAutoHyphens/>
      <w:autoSpaceDE w:val="0"/>
      <w:autoSpaceDN w:val="0"/>
      <w:adjustRightInd w:val="0"/>
      <w:spacing w:line="160" w:lineRule="atLeast"/>
      <w:textAlignment w:val="center"/>
    </w:pPr>
    <w:rPr>
      <w:rFonts w:eastAsiaTheme="minorHAnsi" w:cstheme="minorHAnsi"/>
      <w:color w:val="000000"/>
      <w:sz w:val="18"/>
      <w:szCs w:val="18"/>
    </w:rPr>
  </w:style>
  <w:style w:type="character" w:customStyle="1" w:styleId="TableautitrecolonneCar">
    <w:name w:val="Tableau titre colonne Car"/>
    <w:basedOn w:val="Policepardfaut"/>
    <w:link w:val="Tableautitrecolonne"/>
    <w:rsid w:val="008A6255"/>
    <w:rPr>
      <w:rFonts w:cstheme="minorHAnsi"/>
      <w:b/>
      <w:bCs/>
      <w:color w:val="FFFFFF" w:themeColor="background1"/>
      <w14:textOutline w14:w="9525" w14:cap="flat" w14:cmpd="sng" w14:algn="ctr">
        <w14:noFill/>
        <w14:prstDash w14:val="solid"/>
        <w14:round/>
      </w14:textOutline>
    </w:rPr>
  </w:style>
  <w:style w:type="paragraph" w:customStyle="1" w:styleId="Puceniveau1">
    <w:name w:val="Puce niveau 1"/>
    <w:basedOn w:val="Paragraphedeliste"/>
    <w:link w:val="Puceniveau1Car"/>
    <w:rsid w:val="00215658"/>
    <w:pPr>
      <w:numPr>
        <w:numId w:val="4"/>
      </w:numPr>
      <w:tabs>
        <w:tab w:val="left" w:pos="1080"/>
      </w:tabs>
      <w:suppressAutoHyphens/>
      <w:autoSpaceDE w:val="0"/>
      <w:autoSpaceDN w:val="0"/>
      <w:adjustRightInd w:val="0"/>
      <w:spacing w:line="280" w:lineRule="atLeast"/>
      <w:ind w:left="-360"/>
      <w:jc w:val="both"/>
      <w:textAlignment w:val="center"/>
    </w:pPr>
    <w:rPr>
      <w:rFonts w:eastAsiaTheme="minorHAnsi" w:cstheme="minorHAnsi"/>
      <w:color w:val="000000"/>
      <w:u w:color="000000"/>
    </w:rPr>
  </w:style>
  <w:style w:type="character" w:customStyle="1" w:styleId="TableaulmentCar">
    <w:name w:val="Tableau élément Car"/>
    <w:basedOn w:val="Policepardfaut"/>
    <w:link w:val="Tableaulment"/>
    <w:rsid w:val="008A6255"/>
    <w:rPr>
      <w:rFonts w:cstheme="minorHAnsi"/>
      <w:color w:val="000000"/>
      <w:sz w:val="18"/>
      <w:szCs w:val="18"/>
    </w:rPr>
  </w:style>
  <w:style w:type="paragraph" w:customStyle="1" w:styleId="Puceniveau2">
    <w:name w:val="Puce niveau 2"/>
    <w:basedOn w:val="Paragraphedeliste"/>
    <w:link w:val="Puceniveau2Car"/>
    <w:rsid w:val="00215658"/>
    <w:pPr>
      <w:numPr>
        <w:numId w:val="5"/>
      </w:numPr>
      <w:tabs>
        <w:tab w:val="left" w:pos="1441"/>
      </w:tabs>
      <w:suppressAutoHyphens/>
      <w:autoSpaceDE w:val="0"/>
      <w:autoSpaceDN w:val="0"/>
      <w:adjustRightInd w:val="0"/>
      <w:spacing w:line="280" w:lineRule="atLeast"/>
      <w:ind w:left="0"/>
      <w:jc w:val="both"/>
      <w:textAlignment w:val="center"/>
    </w:pPr>
    <w:rPr>
      <w:rFonts w:eastAsiaTheme="minorHAnsi" w:cstheme="minorHAnsi"/>
      <w:color w:val="000000"/>
      <w:u w:color="000000"/>
    </w:rPr>
  </w:style>
  <w:style w:type="character" w:customStyle="1" w:styleId="Puceniveau1Car">
    <w:name w:val="Puce niveau 1 Car"/>
    <w:basedOn w:val="Policepardfaut"/>
    <w:link w:val="Puceniveau1"/>
    <w:rsid w:val="00215658"/>
    <w:rPr>
      <w:rFonts w:cstheme="minorHAnsi"/>
      <w:color w:val="000000"/>
      <w:u w:color="000000"/>
    </w:rPr>
  </w:style>
  <w:style w:type="character" w:customStyle="1" w:styleId="Puceniveau2Car">
    <w:name w:val="Puce niveau 2 Car"/>
    <w:basedOn w:val="Policepardfaut"/>
    <w:link w:val="Puceniveau2"/>
    <w:rsid w:val="00215658"/>
    <w:rPr>
      <w:rFonts w:cstheme="minorHAnsi"/>
      <w:color w:val="000000"/>
      <w:u w:color="000000"/>
    </w:rPr>
  </w:style>
  <w:style w:type="paragraph" w:styleId="Paragraphedeliste">
    <w:name w:val="List Paragraph"/>
    <w:basedOn w:val="Normal"/>
    <w:link w:val="ParagraphedelisteCar"/>
    <w:uiPriority w:val="34"/>
    <w:qFormat/>
    <w:rsid w:val="0084701B"/>
    <w:pPr>
      <w:ind w:left="720"/>
      <w:contextualSpacing/>
    </w:pPr>
  </w:style>
  <w:style w:type="paragraph" w:customStyle="1" w:styleId="Clientlevise">
    <w:name w:val="Clientèle visée"/>
    <w:basedOn w:val="Normal"/>
    <w:link w:val="ClientleviseCar"/>
    <w:rsid w:val="002301D6"/>
    <w:pPr>
      <w:widowControl w:val="0"/>
      <w:suppressAutoHyphens/>
      <w:autoSpaceDE w:val="0"/>
      <w:autoSpaceDN w:val="0"/>
      <w:adjustRightInd w:val="0"/>
      <w:spacing w:after="120"/>
      <w:textAlignment w:val="center"/>
    </w:pPr>
    <w:rPr>
      <w:rFonts w:eastAsiaTheme="minorHAnsi" w:cs="ArialMT"/>
      <w:b/>
      <w:bCs/>
      <w:color w:val="243A68"/>
      <w:sz w:val="32"/>
      <w:szCs w:val="44"/>
    </w:rPr>
  </w:style>
  <w:style w:type="paragraph" w:customStyle="1" w:styleId="ClientleNumrotationNiveau1">
    <w:name w:val="Clientèle Numérotation Niveau 1"/>
    <w:basedOn w:val="Paragraphedeliste"/>
    <w:link w:val="ClientleNumrotationNiveau1Car"/>
    <w:rsid w:val="00050CF9"/>
    <w:pPr>
      <w:widowControl w:val="0"/>
      <w:numPr>
        <w:numId w:val="6"/>
      </w:numPr>
      <w:pBdr>
        <w:between w:val="single" w:sz="6" w:space="1" w:color="auto"/>
      </w:pBdr>
      <w:suppressAutoHyphens/>
      <w:autoSpaceDE w:val="0"/>
      <w:autoSpaceDN w:val="0"/>
      <w:adjustRightInd w:val="0"/>
      <w:spacing w:before="120" w:after="120"/>
      <w:textAlignment w:val="center"/>
    </w:pPr>
    <w:rPr>
      <w:rFonts w:eastAsiaTheme="minorHAnsi" w:cs="ArialNarrow"/>
      <w:b/>
      <w:bCs/>
      <w:color w:val="FFFFFF" w:themeColor="background1"/>
      <w:sz w:val="28"/>
      <w:szCs w:val="28"/>
    </w:rPr>
  </w:style>
  <w:style w:type="character" w:customStyle="1" w:styleId="ClientleviseCar">
    <w:name w:val="Clientèle visée Car"/>
    <w:basedOn w:val="Policepardfaut"/>
    <w:link w:val="Clientlevise"/>
    <w:rsid w:val="002301D6"/>
    <w:rPr>
      <w:rFonts w:cs="ArialMT"/>
      <w:b/>
      <w:bCs/>
      <w:color w:val="243A68"/>
      <w:sz w:val="32"/>
      <w:szCs w:val="44"/>
      <w:lang w:val="en-CA"/>
    </w:rPr>
  </w:style>
  <w:style w:type="paragraph" w:customStyle="1" w:styleId="Sous-titredudocument">
    <w:name w:val="Sous-titre du document"/>
    <w:basedOn w:val="Titreniveau1"/>
    <w:link w:val="Sous-titredudocumentCar"/>
    <w:rsid w:val="005F6F21"/>
    <w:pPr>
      <w:ind w:left="-720"/>
    </w:pPr>
    <w:rPr>
      <w:color w:val="808080" w:themeColor="background1" w:themeShade="80"/>
    </w:rPr>
  </w:style>
  <w:style w:type="character" w:customStyle="1" w:styleId="ParagraphedelisteCar">
    <w:name w:val="Paragraphe de liste Car"/>
    <w:basedOn w:val="Policepardfaut"/>
    <w:link w:val="Paragraphedeliste"/>
    <w:uiPriority w:val="34"/>
    <w:rsid w:val="00050CF9"/>
    <w:rPr>
      <w:rFonts w:eastAsiaTheme="minorEastAsia"/>
      <w:sz w:val="24"/>
      <w:szCs w:val="24"/>
      <w:lang w:val="en-CA"/>
    </w:rPr>
  </w:style>
  <w:style w:type="character" w:customStyle="1" w:styleId="ClientleNumrotationNiveau1Car">
    <w:name w:val="Clientèle Numérotation Niveau 1 Car"/>
    <w:basedOn w:val="ParagraphedelisteCar"/>
    <w:link w:val="ClientleNumrotationNiveau1"/>
    <w:rsid w:val="00050CF9"/>
    <w:rPr>
      <w:rFonts w:eastAsiaTheme="minorEastAsia" w:cs="ArialNarrow"/>
      <w:b/>
      <w:bCs/>
      <w:color w:val="FFFFFF" w:themeColor="background1"/>
      <w:sz w:val="28"/>
      <w:szCs w:val="28"/>
      <w:lang w:val="en-CA"/>
    </w:rPr>
  </w:style>
  <w:style w:type="character" w:customStyle="1" w:styleId="Sous-titredudocumentCar">
    <w:name w:val="Sous-titre du document Car"/>
    <w:basedOn w:val="Titreniveau1Char"/>
    <w:link w:val="Sous-titredudocument"/>
    <w:rsid w:val="005F6F21"/>
    <w:rPr>
      <w:rFonts w:cstheme="minorHAnsi"/>
      <w:b/>
      <w:bCs/>
      <w:caps/>
      <w:color w:val="808080" w:themeColor="background1" w:themeShade="80"/>
      <w:spacing w:val="-4"/>
      <w:sz w:val="32"/>
      <w:szCs w:val="32"/>
      <w:u w:color="000000"/>
    </w:rPr>
  </w:style>
  <w:style w:type="paragraph" w:customStyle="1" w:styleId="Sous-titredocument">
    <w:name w:val="Sous-titre document"/>
    <w:basedOn w:val="Sous-titredudocument"/>
    <w:link w:val="Sous-titredocumentCar"/>
    <w:qFormat/>
    <w:rsid w:val="005B567E"/>
    <w:pPr>
      <w:ind w:left="0"/>
    </w:pPr>
    <w:rPr>
      <w:caps w:val="0"/>
    </w:rPr>
  </w:style>
  <w:style w:type="paragraph" w:customStyle="1" w:styleId="Titretableau">
    <w:name w:val="Titre tableau"/>
    <w:basedOn w:val="Tableautitrecolonne"/>
    <w:link w:val="TitretableauCar"/>
    <w:qFormat/>
    <w:rsid w:val="000F19BF"/>
    <w:rPr>
      <w:sz w:val="24"/>
      <w:szCs w:val="24"/>
    </w:rPr>
  </w:style>
  <w:style w:type="character" w:customStyle="1" w:styleId="Sous-titredocumentCar">
    <w:name w:val="Sous-titre document Car"/>
    <w:basedOn w:val="Sous-titredudocumentCar"/>
    <w:link w:val="Sous-titredocument"/>
    <w:rsid w:val="005B567E"/>
    <w:rPr>
      <w:rFonts w:cstheme="minorHAnsi"/>
      <w:b/>
      <w:bCs/>
      <w:caps w:val="0"/>
      <w:color w:val="808080" w:themeColor="background1" w:themeShade="80"/>
      <w:spacing w:val="-4"/>
      <w:sz w:val="32"/>
      <w:szCs w:val="32"/>
      <w:u w:color="000000"/>
    </w:rPr>
  </w:style>
  <w:style w:type="paragraph" w:customStyle="1" w:styleId="Titrecolonnestableau">
    <w:name w:val="Titre colonnes tableau"/>
    <w:basedOn w:val="Tableautitrecolonne"/>
    <w:link w:val="TitrecolonnestableauCar"/>
    <w:qFormat/>
    <w:rsid w:val="000C5D9E"/>
    <w:pPr>
      <w:jc w:val="center"/>
    </w:pPr>
  </w:style>
  <w:style w:type="character" w:customStyle="1" w:styleId="TitretableauCar">
    <w:name w:val="Titre tableau Car"/>
    <w:basedOn w:val="TableautitrecolonneCar"/>
    <w:link w:val="Titretableau"/>
    <w:rsid w:val="000F19BF"/>
    <w:rPr>
      <w:rFonts w:cstheme="minorHAnsi"/>
      <w:b/>
      <w:bCs/>
      <w:color w:val="FFFFFF" w:themeColor="background1"/>
      <w:sz w:val="24"/>
      <w:szCs w:val="24"/>
      <w14:textOutline w14:w="9525" w14:cap="flat" w14:cmpd="sng" w14:algn="ctr">
        <w14:noFill/>
        <w14:prstDash w14:val="solid"/>
        <w14:round/>
      </w14:textOutline>
    </w:rPr>
  </w:style>
  <w:style w:type="character" w:customStyle="1" w:styleId="TitrecolonnestableauCar">
    <w:name w:val="Titre colonnes tableau Car"/>
    <w:basedOn w:val="TableautitrecolonneCar"/>
    <w:link w:val="Titrecolonnestableau"/>
    <w:rsid w:val="000C5D9E"/>
    <w:rPr>
      <w:rFonts w:cstheme="minorHAnsi"/>
      <w:b/>
      <w:bCs/>
      <w:color w:val="FFFFFF" w:themeColor="background1"/>
      <w14:textOutline w14:w="9525" w14:cap="flat" w14:cmpd="sng" w14:algn="ctr">
        <w14:noFill/>
        <w14:prstDash w14:val="solid"/>
        <w14:round/>
      </w14:textOutline>
    </w:rPr>
  </w:style>
  <w:style w:type="character" w:styleId="Lienhypertexte">
    <w:name w:val="Hyperlink"/>
    <w:basedOn w:val="Policepardfaut"/>
    <w:uiPriority w:val="99"/>
    <w:unhideWhenUsed/>
    <w:rsid w:val="00F06200"/>
    <w:rPr>
      <w:color w:val="B2A97E" w:themeColor="hyperlink"/>
      <w:u w:val="single"/>
    </w:rPr>
  </w:style>
  <w:style w:type="character" w:customStyle="1" w:styleId="Mentionnonrsolue1">
    <w:name w:val="Mention non résolue1"/>
    <w:basedOn w:val="Policepardfaut"/>
    <w:uiPriority w:val="99"/>
    <w:semiHidden/>
    <w:unhideWhenUsed/>
    <w:rsid w:val="00F06200"/>
    <w:rPr>
      <w:color w:val="605E5C"/>
      <w:shd w:val="clear" w:color="auto" w:fill="E1DFDD"/>
    </w:rPr>
  </w:style>
  <w:style w:type="paragraph" w:customStyle="1" w:styleId="Puce1">
    <w:name w:val="Puce 1"/>
    <w:basedOn w:val="Normal"/>
    <w:link w:val="Puce1Car"/>
    <w:autoRedefine/>
    <w:qFormat/>
    <w:rsid w:val="00AC283F"/>
    <w:pPr>
      <w:numPr>
        <w:numId w:val="7"/>
      </w:numPr>
      <w:spacing w:after="120"/>
      <w:jc w:val="both"/>
    </w:pPr>
    <w:rPr>
      <w:b/>
      <w:bCs/>
      <w:color w:val="595E5F" w:themeColor="text1"/>
      <w:shd w:val="clear" w:color="auto" w:fill="FFFFFF"/>
    </w:rPr>
  </w:style>
  <w:style w:type="paragraph" w:customStyle="1" w:styleId="Puce2">
    <w:name w:val="Puce 2"/>
    <w:basedOn w:val="Paragraphedeliste"/>
    <w:link w:val="Puce2Car"/>
    <w:autoRedefine/>
    <w:qFormat/>
    <w:rsid w:val="00AC283F"/>
    <w:pPr>
      <w:numPr>
        <w:numId w:val="8"/>
      </w:numPr>
      <w:spacing w:after="120" w:line="259" w:lineRule="auto"/>
    </w:pPr>
  </w:style>
  <w:style w:type="character" w:customStyle="1" w:styleId="Puce1Car">
    <w:name w:val="Puce 1 Car"/>
    <w:basedOn w:val="Policepardfaut"/>
    <w:link w:val="Puce1"/>
    <w:rsid w:val="00AC283F"/>
    <w:rPr>
      <w:rFonts w:eastAsiaTheme="minorEastAsia" w:cs="Calibri"/>
      <w:b/>
      <w:bCs/>
      <w:color w:val="595E5F" w:themeColor="text1"/>
    </w:rPr>
  </w:style>
  <w:style w:type="paragraph" w:customStyle="1" w:styleId="Puce3">
    <w:name w:val="Puce 3"/>
    <w:basedOn w:val="Puce2"/>
    <w:link w:val="Puce3Car"/>
    <w:autoRedefine/>
    <w:qFormat/>
    <w:rsid w:val="00AC283F"/>
    <w:pPr>
      <w:numPr>
        <w:ilvl w:val="1"/>
      </w:numPr>
    </w:pPr>
  </w:style>
  <w:style w:type="character" w:customStyle="1" w:styleId="Puce2Car">
    <w:name w:val="Puce 2 Car"/>
    <w:basedOn w:val="ParagraphedelisteCar"/>
    <w:link w:val="Puce2"/>
    <w:rsid w:val="00AC283F"/>
    <w:rPr>
      <w:rFonts w:eastAsiaTheme="minorEastAsia"/>
      <w:sz w:val="24"/>
      <w:szCs w:val="24"/>
      <w:lang w:val="en-CA"/>
    </w:rPr>
  </w:style>
  <w:style w:type="paragraph" w:customStyle="1" w:styleId="Corps">
    <w:name w:val="Corps"/>
    <w:rsid w:val="00F57557"/>
    <w:pPr>
      <w:pBdr>
        <w:top w:val="nil"/>
        <w:left w:val="nil"/>
        <w:bottom w:val="nil"/>
        <w:right w:val="nil"/>
        <w:between w:val="nil"/>
        <w:bar w:val="nil"/>
      </w:pBdr>
    </w:pPr>
    <w:rPr>
      <w:rFonts w:ascii="Helvetica" w:eastAsia="Arial Unicode MS" w:hAnsi="Helvetica" w:cs="Arial Unicode MS"/>
      <w:color w:val="000000"/>
      <w:sz w:val="24"/>
      <w:szCs w:val="24"/>
      <w:bdr w:val="nil"/>
    </w:rPr>
  </w:style>
  <w:style w:type="character" w:customStyle="1" w:styleId="Puce3Car">
    <w:name w:val="Puce 3 Car"/>
    <w:basedOn w:val="Puce2Car"/>
    <w:link w:val="Puce3"/>
    <w:rsid w:val="00AC283F"/>
    <w:rPr>
      <w:rFonts w:eastAsiaTheme="minorEastAsia"/>
      <w:sz w:val="24"/>
      <w:szCs w:val="24"/>
      <w:lang w:val="en-CA"/>
    </w:rPr>
  </w:style>
  <w:style w:type="paragraph" w:styleId="Notedebasdepage">
    <w:name w:val="footnote text"/>
    <w:basedOn w:val="Normal"/>
    <w:link w:val="NotedebasdepageCar"/>
    <w:semiHidden/>
    <w:rsid w:val="00F57557"/>
    <w:pPr>
      <w:jc w:val="both"/>
    </w:pPr>
    <w:rPr>
      <w:rFonts w:ascii="Times New Roman" w:eastAsia="Times New Roman" w:hAnsi="Times New Roman" w:cs="Times New Roman"/>
      <w:sz w:val="20"/>
      <w:szCs w:val="20"/>
      <w:lang w:val="fr-FR" w:eastAsia="fr-FR"/>
    </w:rPr>
  </w:style>
  <w:style w:type="character" w:customStyle="1" w:styleId="NotedebasdepageCar">
    <w:name w:val="Note de bas de page Car"/>
    <w:basedOn w:val="Policepardfaut"/>
    <w:link w:val="Notedebasdepage"/>
    <w:semiHidden/>
    <w:rsid w:val="00F57557"/>
    <w:rPr>
      <w:rFonts w:ascii="Times New Roman" w:eastAsia="Times New Roman" w:hAnsi="Times New Roman" w:cs="Times New Roman"/>
      <w:sz w:val="20"/>
      <w:szCs w:val="20"/>
      <w:lang w:val="fr-FR" w:eastAsia="fr-FR"/>
    </w:rPr>
  </w:style>
  <w:style w:type="character" w:styleId="Appelnotedebasdep">
    <w:name w:val="footnote reference"/>
    <w:semiHidden/>
    <w:rsid w:val="00F57557"/>
    <w:rPr>
      <w:vertAlign w:val="superscript"/>
    </w:rPr>
  </w:style>
  <w:style w:type="character" w:styleId="Marquedecommentaire">
    <w:name w:val="annotation reference"/>
    <w:rsid w:val="00F57557"/>
    <w:rPr>
      <w:sz w:val="16"/>
      <w:szCs w:val="16"/>
    </w:rPr>
  </w:style>
  <w:style w:type="paragraph" w:styleId="Commentaire">
    <w:name w:val="annotation text"/>
    <w:basedOn w:val="Normal"/>
    <w:link w:val="CommentaireCar"/>
    <w:rsid w:val="00F57557"/>
    <w:pPr>
      <w:spacing w:after="200" w:line="252" w:lineRule="auto"/>
      <w:jc w:val="both"/>
    </w:pPr>
    <w:rPr>
      <w:rFonts w:eastAsia="Times New Roman" w:cs="Times New Roman"/>
      <w:sz w:val="20"/>
      <w:szCs w:val="20"/>
      <w:lang w:val="x-none" w:eastAsia="x-none" w:bidi="en-US"/>
    </w:rPr>
  </w:style>
  <w:style w:type="character" w:customStyle="1" w:styleId="CommentaireCar">
    <w:name w:val="Commentaire Car"/>
    <w:basedOn w:val="Policepardfaut"/>
    <w:link w:val="Commentaire"/>
    <w:rsid w:val="00F57557"/>
    <w:rPr>
      <w:rFonts w:ascii="Calibri" w:eastAsia="Times New Roman" w:hAnsi="Calibri" w:cs="Times New Roman"/>
      <w:sz w:val="20"/>
      <w:szCs w:val="20"/>
      <w:lang w:val="x-none" w:eastAsia="x-none" w:bidi="en-US"/>
    </w:rPr>
  </w:style>
  <w:style w:type="paragraph" w:customStyle="1" w:styleId="Formatlibre">
    <w:name w:val="Format libre"/>
    <w:rsid w:val="00F57557"/>
    <w:pPr>
      <w:pBdr>
        <w:top w:val="nil"/>
        <w:left w:val="nil"/>
        <w:bottom w:val="nil"/>
        <w:right w:val="nil"/>
        <w:between w:val="nil"/>
        <w:bar w:val="nil"/>
      </w:pBdr>
    </w:pPr>
    <w:rPr>
      <w:rFonts w:ascii="Helvetica" w:eastAsia="Helvetica" w:hAnsi="Helvetica" w:cs="Helvetica"/>
      <w:color w:val="000000"/>
      <w:sz w:val="24"/>
      <w:szCs w:val="24"/>
      <w:bdr w:val="nil"/>
    </w:rPr>
  </w:style>
  <w:style w:type="paragraph" w:styleId="Textedebulles">
    <w:name w:val="Balloon Text"/>
    <w:basedOn w:val="Normal"/>
    <w:link w:val="TextedebullesCar"/>
    <w:uiPriority w:val="99"/>
    <w:semiHidden/>
    <w:unhideWhenUsed/>
    <w:rsid w:val="004F3C9E"/>
    <w:rPr>
      <w:rFonts w:ascii="Segoe UI" w:hAnsi="Segoe UI" w:cs="Segoe UI"/>
      <w:sz w:val="18"/>
      <w:szCs w:val="18"/>
    </w:rPr>
  </w:style>
  <w:style w:type="character" w:customStyle="1" w:styleId="TextedebullesCar">
    <w:name w:val="Texte de bulles Car"/>
    <w:basedOn w:val="Policepardfaut"/>
    <w:link w:val="Textedebulles"/>
    <w:uiPriority w:val="99"/>
    <w:semiHidden/>
    <w:rsid w:val="004F3C9E"/>
    <w:rPr>
      <w:rFonts w:ascii="Segoe UI" w:eastAsiaTheme="minorEastAsia"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DC6FB5"/>
    <w:pPr>
      <w:spacing w:after="0" w:line="240" w:lineRule="auto"/>
      <w:jc w:val="left"/>
    </w:pPr>
    <w:rPr>
      <w:rFonts w:asciiTheme="minorHAnsi" w:eastAsiaTheme="minorEastAsia" w:hAnsiTheme="minorHAnsi" w:cstheme="minorBidi"/>
      <w:b/>
      <w:bCs/>
      <w:lang w:val="fr-CA" w:eastAsia="en-US" w:bidi="ar-SA"/>
    </w:rPr>
  </w:style>
  <w:style w:type="character" w:customStyle="1" w:styleId="ObjetducommentaireCar">
    <w:name w:val="Objet du commentaire Car"/>
    <w:basedOn w:val="CommentaireCar"/>
    <w:link w:val="Objetducommentaire"/>
    <w:uiPriority w:val="99"/>
    <w:semiHidden/>
    <w:rsid w:val="00DC6FB5"/>
    <w:rPr>
      <w:rFonts w:ascii="Calibri" w:eastAsiaTheme="minorEastAsia" w:hAnsi="Calibri" w:cs="Times New Roman"/>
      <w:b/>
      <w:bCs/>
      <w:sz w:val="20"/>
      <w:szCs w:val="20"/>
      <w:lang w:val="x-none" w:eastAsia="x-none" w:bidi="en-US"/>
    </w:rPr>
  </w:style>
  <w:style w:type="paragraph" w:styleId="Rvision">
    <w:name w:val="Revision"/>
    <w:hidden/>
    <w:uiPriority w:val="99"/>
    <w:semiHidden/>
    <w:rsid w:val="00907AE8"/>
    <w:rPr>
      <w:rFonts w:eastAsiaTheme="minorEastAsia"/>
    </w:rPr>
  </w:style>
  <w:style w:type="paragraph" w:styleId="En-ttedetabledesmatires">
    <w:name w:val="TOC Heading"/>
    <w:basedOn w:val="Titre1"/>
    <w:next w:val="Normal"/>
    <w:uiPriority w:val="39"/>
    <w:unhideWhenUsed/>
    <w:qFormat/>
    <w:rsid w:val="009C0571"/>
    <w:pPr>
      <w:keepNext/>
      <w:keepLines/>
      <w:suppressAutoHyphens w:val="0"/>
      <w:autoSpaceDE/>
      <w:autoSpaceDN/>
      <w:adjustRightInd/>
      <w:spacing w:before="240" w:after="240" w:line="276" w:lineRule="auto"/>
      <w:textAlignment w:val="auto"/>
      <w:outlineLvl w:val="9"/>
    </w:pPr>
    <w:rPr>
      <w:rFonts w:asciiTheme="majorHAnsi" w:eastAsiaTheme="majorEastAsia" w:hAnsiTheme="majorHAnsi" w:cstheme="majorBidi"/>
      <w:caps w:val="0"/>
      <w:color w:val="1A9BD0" w:themeColor="accent1" w:themeShade="BF"/>
      <w:sz w:val="28"/>
      <w:szCs w:val="28"/>
    </w:rPr>
  </w:style>
  <w:style w:type="paragraph" w:styleId="TM1">
    <w:name w:val="toc 1"/>
    <w:basedOn w:val="Normal"/>
    <w:next w:val="Normal"/>
    <w:autoRedefine/>
    <w:uiPriority w:val="39"/>
    <w:unhideWhenUsed/>
    <w:rsid w:val="00294104"/>
    <w:pPr>
      <w:tabs>
        <w:tab w:val="left" w:pos="284"/>
        <w:tab w:val="right" w:leader="dot" w:pos="10076"/>
      </w:tabs>
      <w:spacing w:after="120" w:line="276" w:lineRule="auto"/>
    </w:pPr>
    <w:rPr>
      <w:rFonts w:eastAsiaTheme="minorHAnsi" w:cstheme="minorHAnsi"/>
      <w:b/>
      <w:bCs/>
      <w:caps/>
      <w:sz w:val="20"/>
      <w:szCs w:val="20"/>
    </w:rPr>
  </w:style>
  <w:style w:type="paragraph" w:styleId="TM2">
    <w:name w:val="toc 2"/>
    <w:basedOn w:val="Normal"/>
    <w:next w:val="Normal"/>
    <w:autoRedefine/>
    <w:uiPriority w:val="39"/>
    <w:unhideWhenUsed/>
    <w:rsid w:val="0096563B"/>
    <w:pPr>
      <w:tabs>
        <w:tab w:val="left" w:pos="709"/>
        <w:tab w:val="right" w:leader="dot" w:pos="10076"/>
      </w:tabs>
      <w:spacing w:line="276" w:lineRule="auto"/>
      <w:ind w:left="284"/>
    </w:pPr>
    <w:rPr>
      <w:rFonts w:eastAsiaTheme="minorHAnsi" w:cstheme="minorHAnsi"/>
      <w:smallCaps/>
      <w:sz w:val="20"/>
      <w:szCs w:val="20"/>
    </w:rPr>
  </w:style>
  <w:style w:type="character" w:styleId="Mentionnonrsolue">
    <w:name w:val="Unresolved Mention"/>
    <w:basedOn w:val="Policepardfaut"/>
    <w:uiPriority w:val="99"/>
    <w:semiHidden/>
    <w:unhideWhenUsed/>
    <w:rsid w:val="002061D4"/>
    <w:rPr>
      <w:color w:val="605E5C"/>
      <w:shd w:val="clear" w:color="auto" w:fill="E1DFDD"/>
    </w:rPr>
  </w:style>
  <w:style w:type="character" w:customStyle="1" w:styleId="Titre2Car">
    <w:name w:val="Titre 2 Car"/>
    <w:basedOn w:val="Policepardfaut"/>
    <w:link w:val="Titre2"/>
    <w:uiPriority w:val="9"/>
    <w:rsid w:val="00670CCD"/>
    <w:rPr>
      <w:rFonts w:eastAsiaTheme="majorEastAsia" w:cstheme="majorBidi"/>
      <w:b/>
      <w:caps/>
      <w:color w:val="5A5E5F"/>
      <w:sz w:val="26"/>
      <w:szCs w:val="26"/>
    </w:rPr>
  </w:style>
  <w:style w:type="character" w:customStyle="1" w:styleId="Titre3Car">
    <w:name w:val="Titre 3 Car"/>
    <w:basedOn w:val="Policepardfaut"/>
    <w:link w:val="Titre3"/>
    <w:uiPriority w:val="9"/>
    <w:rsid w:val="00FE4063"/>
    <w:rPr>
      <w:rFonts w:asciiTheme="majorHAnsi" w:eastAsiaTheme="majorEastAsia" w:hAnsiTheme="majorHAnsi" w:cstheme="majorBidi"/>
      <w:bCs/>
      <w:i/>
      <w:smallCaps/>
      <w:color w:val="595E5F" w:themeColor="text1"/>
      <w:u w:val="single"/>
    </w:rPr>
  </w:style>
  <w:style w:type="character" w:customStyle="1" w:styleId="Titre4Car">
    <w:name w:val="Titre 4 Car"/>
    <w:basedOn w:val="Policepardfaut"/>
    <w:link w:val="Titre4"/>
    <w:uiPriority w:val="9"/>
    <w:rsid w:val="00FE4063"/>
    <w:rPr>
      <w:rFonts w:asciiTheme="majorHAnsi" w:eastAsiaTheme="majorEastAsia" w:hAnsiTheme="majorHAnsi" w:cstheme="majorBidi"/>
      <w:b/>
      <w:bCs/>
      <w:i/>
      <w:iCs/>
      <w:color w:val="50BDE9" w:themeColor="accent1"/>
    </w:rPr>
  </w:style>
  <w:style w:type="character" w:customStyle="1" w:styleId="Titre5Car">
    <w:name w:val="Titre 5 Car"/>
    <w:basedOn w:val="Policepardfaut"/>
    <w:link w:val="Titre5"/>
    <w:uiPriority w:val="9"/>
    <w:semiHidden/>
    <w:rsid w:val="00FE4063"/>
    <w:rPr>
      <w:rFonts w:asciiTheme="majorHAnsi" w:eastAsiaTheme="majorEastAsia" w:hAnsiTheme="majorHAnsi" w:cstheme="majorBidi"/>
      <w:color w:val="11678A" w:themeColor="accent1" w:themeShade="7F"/>
    </w:rPr>
  </w:style>
  <w:style w:type="character" w:customStyle="1" w:styleId="Titre6Car">
    <w:name w:val="Titre 6 Car"/>
    <w:basedOn w:val="Policepardfaut"/>
    <w:link w:val="Titre6"/>
    <w:uiPriority w:val="9"/>
    <w:semiHidden/>
    <w:rsid w:val="00FE4063"/>
    <w:rPr>
      <w:rFonts w:asciiTheme="majorHAnsi" w:eastAsiaTheme="majorEastAsia" w:hAnsiTheme="majorHAnsi" w:cstheme="majorBidi"/>
      <w:i/>
      <w:iCs/>
      <w:color w:val="11678A" w:themeColor="accent1" w:themeShade="7F"/>
    </w:rPr>
  </w:style>
  <w:style w:type="character" w:customStyle="1" w:styleId="Titre7Car">
    <w:name w:val="Titre 7 Car"/>
    <w:basedOn w:val="Policepardfaut"/>
    <w:link w:val="Titre7"/>
    <w:uiPriority w:val="9"/>
    <w:semiHidden/>
    <w:rsid w:val="00FE4063"/>
    <w:rPr>
      <w:rFonts w:asciiTheme="majorHAnsi" w:eastAsiaTheme="majorEastAsia" w:hAnsiTheme="majorHAnsi" w:cstheme="majorBidi"/>
      <w:i/>
      <w:iCs/>
      <w:color w:val="808788" w:themeColor="text1" w:themeTint="BF"/>
    </w:rPr>
  </w:style>
  <w:style w:type="character" w:customStyle="1" w:styleId="Titre8Car">
    <w:name w:val="Titre 8 Car"/>
    <w:basedOn w:val="Policepardfaut"/>
    <w:link w:val="Titre8"/>
    <w:uiPriority w:val="9"/>
    <w:semiHidden/>
    <w:rsid w:val="00FE4063"/>
    <w:rPr>
      <w:rFonts w:asciiTheme="majorHAnsi" w:eastAsiaTheme="majorEastAsia" w:hAnsiTheme="majorHAnsi" w:cstheme="majorBidi"/>
      <w:color w:val="808788" w:themeColor="text1" w:themeTint="BF"/>
      <w:sz w:val="20"/>
      <w:szCs w:val="20"/>
    </w:rPr>
  </w:style>
  <w:style w:type="character" w:customStyle="1" w:styleId="Titre9Car">
    <w:name w:val="Titre 9 Car"/>
    <w:basedOn w:val="Policepardfaut"/>
    <w:link w:val="Titre9"/>
    <w:uiPriority w:val="9"/>
    <w:semiHidden/>
    <w:rsid w:val="00FE4063"/>
    <w:rPr>
      <w:rFonts w:asciiTheme="majorHAnsi" w:eastAsiaTheme="majorEastAsia" w:hAnsiTheme="majorHAnsi" w:cstheme="majorBidi"/>
      <w:i/>
      <w:iCs/>
      <w:color w:val="808788" w:themeColor="text1" w:themeTint="BF"/>
      <w:sz w:val="20"/>
      <w:szCs w:val="20"/>
    </w:rPr>
  </w:style>
  <w:style w:type="character" w:styleId="Titredulivre">
    <w:name w:val="Book Title"/>
    <w:basedOn w:val="Policepardfaut"/>
    <w:uiPriority w:val="33"/>
    <w:rsid w:val="00FE4063"/>
    <w:rPr>
      <w:b/>
      <w:bCs/>
      <w:smallCaps/>
      <w:spacing w:val="5"/>
    </w:rPr>
  </w:style>
  <w:style w:type="paragraph" w:styleId="Sous-titre">
    <w:name w:val="Subtitle"/>
    <w:basedOn w:val="Normal"/>
    <w:next w:val="Normal"/>
    <w:link w:val="Sous-titreCar"/>
    <w:uiPriority w:val="11"/>
    <w:qFormat/>
    <w:pPr>
      <w:spacing w:after="200" w:line="276" w:lineRule="auto"/>
    </w:pPr>
    <w:rPr>
      <w:color w:val="C00000"/>
    </w:rPr>
  </w:style>
  <w:style w:type="character" w:customStyle="1" w:styleId="Sous-titreCar">
    <w:name w:val="Sous-titre Car"/>
    <w:basedOn w:val="Policepardfaut"/>
    <w:link w:val="Sous-titre"/>
    <w:uiPriority w:val="11"/>
    <w:rsid w:val="00FE4063"/>
    <w:rPr>
      <w:rFonts w:eastAsiaTheme="majorEastAsia" w:cstheme="majorBidi"/>
      <w:iCs/>
      <w:color w:val="C00000"/>
      <w:szCs w:val="24"/>
    </w:rPr>
  </w:style>
  <w:style w:type="character" w:styleId="Accentuationlgre">
    <w:name w:val="Subtle Emphasis"/>
    <w:aliases w:val="Loi,règlement"/>
    <w:uiPriority w:val="19"/>
    <w:qFormat/>
    <w:rsid w:val="00FE4063"/>
    <w:rPr>
      <w:rFonts w:asciiTheme="minorHAnsi" w:hAnsiTheme="minorHAnsi"/>
      <w:i w:val="0"/>
      <w:iCs/>
      <w:color w:val="7030A0"/>
      <w:spacing w:val="0"/>
      <w:sz w:val="22"/>
    </w:rPr>
  </w:style>
  <w:style w:type="character" w:styleId="Accentuation">
    <w:name w:val="Emphasis"/>
    <w:aliases w:val="Info supp"/>
    <w:uiPriority w:val="20"/>
    <w:qFormat/>
    <w:rsid w:val="00FE4063"/>
    <w:rPr>
      <w:rFonts w:asciiTheme="minorHAnsi" w:hAnsiTheme="minorHAnsi"/>
      <w:i w:val="0"/>
      <w:iCs/>
      <w:color w:val="00BC00"/>
      <w:spacing w:val="0"/>
      <w:sz w:val="22"/>
    </w:rPr>
  </w:style>
  <w:style w:type="character" w:styleId="lev">
    <w:name w:val="Strong"/>
    <w:basedOn w:val="Policepardfaut"/>
    <w:uiPriority w:val="22"/>
    <w:rsid w:val="00FE4063"/>
    <w:rPr>
      <w:b/>
      <w:bCs/>
    </w:rPr>
  </w:style>
  <w:style w:type="paragraph" w:customStyle="1" w:styleId="STYLETPC">
    <w:name w:val="STYLE TPC"/>
    <w:basedOn w:val="Normal"/>
    <w:link w:val="STYLETPCCar"/>
    <w:qFormat/>
    <w:rsid w:val="00FE4063"/>
    <w:pPr>
      <w:spacing w:after="200" w:line="276" w:lineRule="auto"/>
    </w:pPr>
    <w:rPr>
      <w:rFonts w:eastAsiaTheme="minorHAnsi"/>
    </w:rPr>
  </w:style>
  <w:style w:type="character" w:customStyle="1" w:styleId="STYLETPCCar">
    <w:name w:val="STYLE TPC Car"/>
    <w:basedOn w:val="Policepardfaut"/>
    <w:link w:val="STYLETPC"/>
    <w:rsid w:val="00FE4063"/>
  </w:style>
  <w:style w:type="table" w:styleId="Grillemoyenne1-Accent6">
    <w:name w:val="Medium Grid 1 Accent 6"/>
    <w:basedOn w:val="TableauNormal"/>
    <w:uiPriority w:val="67"/>
    <w:rsid w:val="00FE4063"/>
    <w:tblPr>
      <w:tblStyleRowBandSize w:val="1"/>
      <w:tblStyleColBandSize w:val="1"/>
      <w:tblBorders>
        <w:top w:val="single" w:sz="8" w:space="0" w:color="20AFB5" w:themeColor="accent6" w:themeTint="BF"/>
        <w:left w:val="single" w:sz="8" w:space="0" w:color="20AFB5" w:themeColor="accent6" w:themeTint="BF"/>
        <w:bottom w:val="single" w:sz="8" w:space="0" w:color="20AFB5" w:themeColor="accent6" w:themeTint="BF"/>
        <w:right w:val="single" w:sz="8" w:space="0" w:color="20AFB5" w:themeColor="accent6" w:themeTint="BF"/>
        <w:insideH w:val="single" w:sz="8" w:space="0" w:color="20AFB5" w:themeColor="accent6" w:themeTint="BF"/>
        <w:insideV w:val="single" w:sz="8" w:space="0" w:color="20AFB5" w:themeColor="accent6" w:themeTint="BF"/>
      </w:tblBorders>
    </w:tblPr>
    <w:tcPr>
      <w:shd w:val="clear" w:color="auto" w:fill="ABEDF0" w:themeFill="accent6" w:themeFillTint="3F"/>
    </w:tcPr>
    <w:tblStylePr w:type="firstRow">
      <w:rPr>
        <w:b/>
        <w:bCs/>
      </w:rPr>
    </w:tblStylePr>
    <w:tblStylePr w:type="lastRow">
      <w:rPr>
        <w:b/>
        <w:bCs/>
      </w:rPr>
      <w:tblPr/>
      <w:tcPr>
        <w:tcBorders>
          <w:top w:val="single" w:sz="18" w:space="0" w:color="20AFB5" w:themeColor="accent6" w:themeTint="BF"/>
        </w:tcBorders>
      </w:tcPr>
    </w:tblStylePr>
    <w:tblStylePr w:type="firstCol">
      <w:rPr>
        <w:b/>
        <w:bCs/>
      </w:rPr>
    </w:tblStylePr>
    <w:tblStylePr w:type="lastCol">
      <w:rPr>
        <w:b/>
        <w:bCs/>
      </w:rPr>
    </w:tblStylePr>
    <w:tblStylePr w:type="band1Vert">
      <w:tblPr/>
      <w:tcPr>
        <w:shd w:val="clear" w:color="auto" w:fill="57DCE1" w:themeFill="accent6" w:themeFillTint="7F"/>
      </w:tcPr>
    </w:tblStylePr>
    <w:tblStylePr w:type="band1Horz">
      <w:tblPr/>
      <w:tcPr>
        <w:shd w:val="clear" w:color="auto" w:fill="57DCE1" w:themeFill="accent6" w:themeFillTint="7F"/>
      </w:tcPr>
    </w:tblStylePr>
  </w:style>
  <w:style w:type="paragraph" w:styleId="TM3">
    <w:name w:val="toc 3"/>
    <w:basedOn w:val="Normal"/>
    <w:next w:val="Normal"/>
    <w:autoRedefine/>
    <w:uiPriority w:val="39"/>
    <w:unhideWhenUsed/>
    <w:rsid w:val="00FE4063"/>
    <w:pPr>
      <w:tabs>
        <w:tab w:val="left" w:pos="1100"/>
        <w:tab w:val="right" w:leader="dot" w:pos="10340"/>
      </w:tabs>
      <w:spacing w:line="276" w:lineRule="auto"/>
      <w:ind w:left="440"/>
    </w:pPr>
    <w:rPr>
      <w:rFonts w:eastAsiaTheme="minorHAnsi" w:cstheme="minorHAnsi"/>
      <w:i/>
      <w:iCs/>
      <w:sz w:val="20"/>
      <w:szCs w:val="20"/>
    </w:rPr>
  </w:style>
  <w:style w:type="paragraph" w:styleId="TM4">
    <w:name w:val="toc 4"/>
    <w:basedOn w:val="Normal"/>
    <w:next w:val="Normal"/>
    <w:autoRedefine/>
    <w:uiPriority w:val="39"/>
    <w:unhideWhenUsed/>
    <w:rsid w:val="00FE4063"/>
    <w:pPr>
      <w:spacing w:line="276" w:lineRule="auto"/>
      <w:ind w:left="660"/>
    </w:pPr>
    <w:rPr>
      <w:rFonts w:eastAsiaTheme="minorHAnsi" w:cstheme="minorHAnsi"/>
      <w:sz w:val="18"/>
      <w:szCs w:val="18"/>
    </w:rPr>
  </w:style>
  <w:style w:type="paragraph" w:styleId="TM5">
    <w:name w:val="toc 5"/>
    <w:basedOn w:val="Normal"/>
    <w:next w:val="Normal"/>
    <w:autoRedefine/>
    <w:uiPriority w:val="39"/>
    <w:unhideWhenUsed/>
    <w:rsid w:val="00FE4063"/>
    <w:pPr>
      <w:spacing w:line="276" w:lineRule="auto"/>
      <w:ind w:left="880"/>
    </w:pPr>
    <w:rPr>
      <w:rFonts w:eastAsiaTheme="minorHAnsi" w:cstheme="minorHAnsi"/>
      <w:sz w:val="18"/>
      <w:szCs w:val="18"/>
    </w:rPr>
  </w:style>
  <w:style w:type="paragraph" w:styleId="TM6">
    <w:name w:val="toc 6"/>
    <w:basedOn w:val="Normal"/>
    <w:next w:val="Normal"/>
    <w:autoRedefine/>
    <w:uiPriority w:val="39"/>
    <w:unhideWhenUsed/>
    <w:rsid w:val="00FE4063"/>
    <w:pPr>
      <w:spacing w:line="276" w:lineRule="auto"/>
      <w:ind w:left="1100"/>
    </w:pPr>
    <w:rPr>
      <w:rFonts w:eastAsiaTheme="minorHAnsi" w:cstheme="minorHAnsi"/>
      <w:sz w:val="18"/>
      <w:szCs w:val="18"/>
    </w:rPr>
  </w:style>
  <w:style w:type="paragraph" w:styleId="TM7">
    <w:name w:val="toc 7"/>
    <w:basedOn w:val="Normal"/>
    <w:next w:val="Normal"/>
    <w:autoRedefine/>
    <w:uiPriority w:val="39"/>
    <w:unhideWhenUsed/>
    <w:rsid w:val="00FE4063"/>
    <w:pPr>
      <w:spacing w:line="276" w:lineRule="auto"/>
      <w:ind w:left="1320"/>
    </w:pPr>
    <w:rPr>
      <w:rFonts w:eastAsiaTheme="minorHAnsi" w:cstheme="minorHAnsi"/>
      <w:sz w:val="18"/>
      <w:szCs w:val="18"/>
    </w:rPr>
  </w:style>
  <w:style w:type="paragraph" w:styleId="TM8">
    <w:name w:val="toc 8"/>
    <w:basedOn w:val="Normal"/>
    <w:next w:val="Normal"/>
    <w:autoRedefine/>
    <w:uiPriority w:val="39"/>
    <w:unhideWhenUsed/>
    <w:rsid w:val="00FE4063"/>
    <w:pPr>
      <w:spacing w:line="276" w:lineRule="auto"/>
      <w:ind w:left="1540"/>
    </w:pPr>
    <w:rPr>
      <w:rFonts w:eastAsiaTheme="minorHAnsi" w:cstheme="minorHAnsi"/>
      <w:sz w:val="18"/>
      <w:szCs w:val="18"/>
    </w:rPr>
  </w:style>
  <w:style w:type="paragraph" w:styleId="TM9">
    <w:name w:val="toc 9"/>
    <w:basedOn w:val="Normal"/>
    <w:next w:val="Normal"/>
    <w:autoRedefine/>
    <w:uiPriority w:val="39"/>
    <w:unhideWhenUsed/>
    <w:rsid w:val="00FE4063"/>
    <w:pPr>
      <w:spacing w:line="276" w:lineRule="auto"/>
      <w:ind w:left="1760"/>
    </w:pPr>
    <w:rPr>
      <w:rFonts w:eastAsiaTheme="minorHAnsi" w:cstheme="minorHAnsi"/>
      <w:sz w:val="18"/>
      <w:szCs w:val="18"/>
    </w:rPr>
  </w:style>
  <w:style w:type="paragraph" w:styleId="NormalWeb">
    <w:name w:val="Normal (Web)"/>
    <w:basedOn w:val="Normal"/>
    <w:uiPriority w:val="99"/>
    <w:unhideWhenUsed/>
    <w:rsid w:val="00FE4063"/>
    <w:pPr>
      <w:spacing w:before="100" w:beforeAutospacing="1" w:after="100" w:afterAutospacing="1"/>
    </w:pPr>
    <w:rPr>
      <w:rFonts w:ascii="Times New Roman" w:eastAsia="Times New Roman" w:hAnsi="Times New Roman" w:cs="Times New Roman"/>
      <w:sz w:val="24"/>
      <w:szCs w:val="24"/>
    </w:rPr>
  </w:style>
  <w:style w:type="table" w:styleId="Grillecouleur-Accent6">
    <w:name w:val="Colorful Grid Accent 6"/>
    <w:basedOn w:val="TableauNormal"/>
    <w:uiPriority w:val="73"/>
    <w:rsid w:val="00FE4063"/>
    <w:rPr>
      <w:color w:val="595E5F" w:themeColor="text1"/>
    </w:rPr>
    <w:tblPr>
      <w:tblStyleRowBandSize w:val="1"/>
      <w:tblStyleColBandSize w:val="1"/>
      <w:tblBorders>
        <w:insideH w:val="single" w:sz="4" w:space="0" w:color="FFFFFF" w:themeColor="background1"/>
      </w:tblBorders>
    </w:tblPr>
    <w:tcPr>
      <w:shd w:val="clear" w:color="auto" w:fill="BBF0F3" w:themeFill="accent6" w:themeFillTint="33"/>
    </w:tcPr>
    <w:tblStylePr w:type="firstRow">
      <w:rPr>
        <w:b/>
        <w:bCs/>
      </w:rPr>
      <w:tblPr/>
      <w:tcPr>
        <w:shd w:val="clear" w:color="auto" w:fill="78E2E7" w:themeFill="accent6" w:themeFillTint="66"/>
      </w:tcPr>
    </w:tblStylePr>
    <w:tblStylePr w:type="lastRow">
      <w:rPr>
        <w:b/>
        <w:bCs/>
        <w:color w:val="595E5F" w:themeColor="text1"/>
      </w:rPr>
      <w:tblPr/>
      <w:tcPr>
        <w:shd w:val="clear" w:color="auto" w:fill="78E2E7" w:themeFill="accent6" w:themeFillTint="66"/>
      </w:tcPr>
    </w:tblStylePr>
    <w:tblStylePr w:type="firstCol">
      <w:rPr>
        <w:color w:val="FFFFFF" w:themeColor="background1"/>
      </w:rPr>
      <w:tblPr/>
      <w:tcPr>
        <w:shd w:val="clear" w:color="auto" w:fill="0C4648" w:themeFill="accent6" w:themeFillShade="BF"/>
      </w:tcPr>
    </w:tblStylePr>
    <w:tblStylePr w:type="lastCol">
      <w:rPr>
        <w:color w:val="FFFFFF" w:themeColor="background1"/>
      </w:rPr>
      <w:tblPr/>
      <w:tcPr>
        <w:shd w:val="clear" w:color="auto" w:fill="0C4648" w:themeFill="accent6" w:themeFillShade="BF"/>
      </w:tcPr>
    </w:tblStylePr>
    <w:tblStylePr w:type="band1Vert">
      <w:tblPr/>
      <w:tcPr>
        <w:shd w:val="clear" w:color="auto" w:fill="57DCE1" w:themeFill="accent6" w:themeFillTint="7F"/>
      </w:tcPr>
    </w:tblStylePr>
    <w:tblStylePr w:type="band1Horz">
      <w:tblPr/>
      <w:tcPr>
        <w:shd w:val="clear" w:color="auto" w:fill="57DCE1" w:themeFill="accent6" w:themeFillTint="7F"/>
      </w:tcPr>
    </w:tblStylePr>
  </w:style>
  <w:style w:type="character" w:customStyle="1" w:styleId="UnresolvedMention1">
    <w:name w:val="Unresolved Mention1"/>
    <w:basedOn w:val="Policepardfaut"/>
    <w:uiPriority w:val="99"/>
    <w:semiHidden/>
    <w:unhideWhenUsed/>
    <w:rsid w:val="00FE4063"/>
    <w:rPr>
      <w:color w:val="605E5C"/>
      <w:shd w:val="clear" w:color="auto" w:fill="E1DFDD"/>
    </w:rPr>
  </w:style>
  <w:style w:type="character" w:styleId="Lienhypertextesuivivisit">
    <w:name w:val="FollowedHyperlink"/>
    <w:basedOn w:val="Policepardfaut"/>
    <w:uiPriority w:val="99"/>
    <w:semiHidden/>
    <w:unhideWhenUsed/>
    <w:rsid w:val="00FE4063"/>
    <w:rPr>
      <w:color w:val="165096" w:themeColor="followedHyperlink"/>
      <w:u w:val="single"/>
    </w:rPr>
  </w:style>
  <w:style w:type="paragraph" w:customStyle="1" w:styleId="Pa11">
    <w:name w:val="Pa11"/>
    <w:basedOn w:val="Normal"/>
    <w:next w:val="Normal"/>
    <w:uiPriority w:val="99"/>
    <w:rsid w:val="00FE4063"/>
    <w:pPr>
      <w:autoSpaceDE w:val="0"/>
      <w:autoSpaceDN w:val="0"/>
      <w:adjustRightInd w:val="0"/>
      <w:spacing w:line="191" w:lineRule="atLeast"/>
    </w:pPr>
    <w:rPr>
      <w:rFonts w:ascii="QQNXDS+TimesNewRomanPSMT" w:eastAsiaTheme="minorHAnsi" w:hAnsi="QQNXDS+TimesNewRomanPSMT"/>
      <w:sz w:val="24"/>
      <w:szCs w:val="24"/>
    </w:rPr>
  </w:style>
  <w:style w:type="paragraph" w:customStyle="1" w:styleId="Default">
    <w:name w:val="Default"/>
    <w:rsid w:val="00FE4063"/>
    <w:pPr>
      <w:autoSpaceDE w:val="0"/>
      <w:autoSpaceDN w:val="0"/>
      <w:adjustRightInd w:val="0"/>
    </w:pPr>
    <w:rPr>
      <w:rFonts w:ascii="QQNXDS+TimesNewRomanPSMT" w:hAnsi="QQNXDS+TimesNewRomanPSMT" w:cs="QQNXDS+TimesNewRomanPSMT"/>
      <w:color w:val="000000"/>
      <w:sz w:val="24"/>
      <w:szCs w:val="24"/>
    </w:rPr>
  </w:style>
  <w:style w:type="paragraph" w:customStyle="1" w:styleId="pf0">
    <w:name w:val="pf0"/>
    <w:basedOn w:val="Normal"/>
    <w:rsid w:val="00FE4063"/>
    <w:pPr>
      <w:spacing w:before="100" w:beforeAutospacing="1" w:after="100" w:afterAutospacing="1"/>
    </w:pPr>
    <w:rPr>
      <w:rFonts w:ascii="Times New Roman" w:eastAsia="Times New Roman" w:hAnsi="Times New Roman" w:cs="Times New Roman"/>
      <w:sz w:val="24"/>
      <w:szCs w:val="24"/>
    </w:rPr>
  </w:style>
  <w:style w:type="character" w:customStyle="1" w:styleId="cf01">
    <w:name w:val="cf01"/>
    <w:basedOn w:val="Policepardfaut"/>
    <w:rsid w:val="00FE4063"/>
    <w:rPr>
      <w:rFonts w:ascii="Segoe UI" w:hAnsi="Segoe UI" w:cs="Segoe UI" w:hint="default"/>
      <w:sz w:val="18"/>
      <w:szCs w:val="18"/>
    </w:rPr>
  </w:style>
  <w:style w:type="character" w:customStyle="1" w:styleId="label-section">
    <w:name w:val="label-section"/>
    <w:basedOn w:val="Policepardfaut"/>
    <w:rsid w:val="00FE4063"/>
  </w:style>
  <w:style w:type="character" w:customStyle="1" w:styleId="subsection">
    <w:name w:val="subsection"/>
    <w:basedOn w:val="Policepardfaut"/>
    <w:rsid w:val="00FE4063"/>
  </w:style>
  <w:style w:type="character" w:customStyle="1" w:styleId="bold">
    <w:name w:val="bold"/>
    <w:basedOn w:val="Policepardfaut"/>
    <w:rsid w:val="00FE4063"/>
  </w:style>
  <w:style w:type="table" w:customStyle="1" w:styleId="a">
    <w:basedOn w:val="TableNormal2"/>
    <w:rPr>
      <w:color w:val="000000"/>
      <w:sz w:val="24"/>
      <w:szCs w:val="24"/>
    </w:rPr>
    <w:tblPr>
      <w:tblStyleRowBandSize w:val="1"/>
      <w:tblStyleColBandSize w:val="1"/>
      <w:tblCellMar>
        <w:left w:w="115" w:type="dxa"/>
        <w:right w:w="115" w:type="dxa"/>
      </w:tblCellMar>
    </w:tblPr>
    <w:tcPr>
      <w:shd w:val="clear" w:color="auto" w:fill="E2EFD9"/>
    </w:tcPr>
  </w:style>
  <w:style w:type="table" w:customStyle="1" w:styleId="a0">
    <w:basedOn w:val="TableNormal2"/>
    <w:rPr>
      <w:color w:val="000000"/>
      <w:sz w:val="24"/>
      <w:szCs w:val="24"/>
    </w:rPr>
    <w:tblPr>
      <w:tblStyleRowBandSize w:val="1"/>
      <w:tblStyleColBandSize w:val="1"/>
      <w:tblCellMar>
        <w:left w:w="115" w:type="dxa"/>
        <w:right w:w="115" w:type="dxa"/>
      </w:tblCellMar>
    </w:tblPr>
    <w:tcPr>
      <w:shd w:val="clear" w:color="auto" w:fill="E2EFD9"/>
    </w:tcPr>
  </w:style>
  <w:style w:type="numbering" w:customStyle="1" w:styleId="CurrentList1">
    <w:name w:val="Current List1"/>
    <w:uiPriority w:val="99"/>
    <w:rsid w:val="00E11E93"/>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quebec.gouv.qc.ca/fr/document/rc/S-2.1,%20r.%2013" TargetMode="External"/><Relationship Id="rId18" Type="http://schemas.openxmlformats.org/officeDocument/2006/relationships/hyperlink" Target="https://www.irsst.qc.ca/" TargetMode="External"/><Relationship Id="rId26" Type="http://schemas.openxmlformats.org/officeDocument/2006/relationships/hyperlink" Target="https://www.legisquebec.gouv.qc.ca/fr/document/lc/S-2.1" TargetMode="External"/><Relationship Id="rId3" Type="http://schemas.openxmlformats.org/officeDocument/2006/relationships/customXml" Target="../customXml/item3.xml"/><Relationship Id="rId21" Type="http://schemas.openxmlformats.org/officeDocument/2006/relationships/hyperlink" Target="https://www.legisquebec.gouv.qc.ca/fr/version/rc/S-2.1,%20r.%2013?code=se:322&amp;historique=20230711"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legisquebec.gouv.qc.ca/fr/document/lc/S-2.1" TargetMode="External"/><Relationship Id="rId25" Type="http://schemas.openxmlformats.org/officeDocument/2006/relationships/hyperlink" Target="https://www.legisquebec.gouv.qc.ca/fr/document/lc/S-2.1"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legisquebec.gouv.qc.ca/fr/version/rc/s-2.1,%20r.%2013?code=se:322&amp;historique=20220404" TargetMode="External"/><Relationship Id="rId29" Type="http://schemas.openxmlformats.org/officeDocument/2006/relationships/hyperlink" Target="https://d12oqns8b3bfa8.cloudfront.net/apsam/publications/roles-responsabilites-espaces-clo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legisquebec.gouv.qc.ca/fr/document/lc/S-2.1"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irsst.qc.ca/eclos/" TargetMode="External"/><Relationship Id="rId23" Type="http://schemas.openxmlformats.org/officeDocument/2006/relationships/hyperlink" Target="https://www.legisquebec.gouv.qc.ca/fr/document/lc/S-2.1" TargetMode="External"/><Relationship Id="rId28" Type="http://schemas.openxmlformats.org/officeDocument/2006/relationships/hyperlink" Target="https://www.legisquebec.gouv.qc.ca/fr/document/lc/S-2.1" TargetMode="External"/><Relationship Id="rId10" Type="http://schemas.openxmlformats.org/officeDocument/2006/relationships/endnotes" Target="endnotes.xml"/><Relationship Id="rId19" Type="http://schemas.openxmlformats.org/officeDocument/2006/relationships/hyperlink" Target="https://www.irsst.qc.ca/media/documents/PubIRSST/R-1167-fr.pdf"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quebec.gouv.qc.ca/fr/document/rc/S-2.1,%20r.%204" TargetMode="External"/><Relationship Id="rId22" Type="http://schemas.openxmlformats.org/officeDocument/2006/relationships/hyperlink" Target="http://legisquebec.gouv.qc.ca/fr/ShowDoc/cs/S-2.1" TargetMode="External"/><Relationship Id="rId27" Type="http://schemas.openxmlformats.org/officeDocument/2006/relationships/hyperlink" Target="https://www.legisquebec.gouv.qc.ca/fr/document/lc/S-2.1" TargetMode="External"/><Relationship Id="rId30" Type="http://schemas.openxmlformats.org/officeDocument/2006/relationships/hyperlink" Target="https://www.apsam.com/gestion-de-la-prevention/elimination-et-controle/formation-en-sante-et-en-securite-du-travail"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apsam.com" TargetMode="External"/></Relationships>
</file>

<file path=word/theme/theme1.xml><?xml version="1.0" encoding="utf-8"?>
<a:theme xmlns:a="http://schemas.openxmlformats.org/drawingml/2006/main" name="apsam2019">
  <a:themeElements>
    <a:clrScheme name="APSAM couleurs 2019">
      <a:dk1>
        <a:srgbClr val="595E5F"/>
      </a:dk1>
      <a:lt1>
        <a:srgbClr val="FFFFFF"/>
      </a:lt1>
      <a:dk2>
        <a:srgbClr val="243A68"/>
      </a:dk2>
      <a:lt2>
        <a:srgbClr val="E6E6E9"/>
      </a:lt2>
      <a:accent1>
        <a:srgbClr val="50BDE9"/>
      </a:accent1>
      <a:accent2>
        <a:srgbClr val="ACC551"/>
      </a:accent2>
      <a:accent3>
        <a:srgbClr val="30AEB3"/>
      </a:accent3>
      <a:accent4>
        <a:srgbClr val="F1564F"/>
      </a:accent4>
      <a:accent5>
        <a:srgbClr val="EC8926"/>
      </a:accent5>
      <a:accent6>
        <a:srgbClr val="115E61"/>
      </a:accent6>
      <a:hlink>
        <a:srgbClr val="B2A97E"/>
      </a:hlink>
      <a:folHlink>
        <a:srgbClr val="16509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psam2019" id="{BDBD2EF7-A231-A840-A2C2-896CF7F313E7}" vid="{435BDB36-B692-634D-94C2-F04E87FD4BC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nVlTGyS/OVG0BU21hlx8xE8wXQ==">CgMxLjAaJwoBMBIiCiAIBCocCgtBQUFBMnhxaTgxRRAIGgtBQUFBMnhxaTgxRRonCgExEiIKIAgEKhwKC0FBQUEydnlYdUZNEAgaC0FBQUEydnlYdUZNGicKATISIgogCAQqHAoLQUFBQTJ2eVh1RlEQCBoLQUFBQTJ2eVh1RlEaJwoBMxIiCiAIBCocCgtBQUFBMnZ5WHVGVRAIGgtBQUFBMnZ5WHVGVRonCgE0EiIKIAgEKhwKC0FBQUEyZHVNb3U4EAgaC0FBQUEyZHVNb3U4GicKATUSIgogCAQqHAoLQUFBQTJ2eVh1RmMQCBoLQUFBQTJ2eVh1RmMaJwoBNhIiCiAIBCocCgtBQUFBMnZ5WHVFZxAIGgtBQUFBMnZ5WHVFZxonCgE3EiIKIAgEKhwKC0FBQUEydnlYdURBEAgaC0FBQUEydnlYdURBGicKATgSIgogCAQqHAoLQUFBQTJ2eVh1RmcQCBoLQUFBQTJ2eVh1RmcaJwoBORIiCiAIBCocCgtBQUFBMmVaQ21BNBAIGgtBQUFBMmVaQ21BNBooCgIxMBIiCiAIBCocCgtBQUFBMmVaQ21BOBAIGgtBQUFBMmVaQ21BOBooCgIxMRIiCiAIBCocCgtBQUFBMmR1TW96QRAIGgtBQUFBMmR1TW96QRooCgIxMhIiCiAIBCocCgtBQUFBMmR1TW85YxAIGgtBQUFBMmR1TW85YxooCgIxMxIiCiAIBCocCgtBQUFBMnZ5WHVETRAIGgtBQUFBMnZ5WHVETRooCgIxNBIiCiAIBCocCgtBQUFBMmVaQ21CQRAIGgtBQUFBMmVaQ21CQRooCgIxNRIiCiAIBCocCgtBQUFBMmR1TW85axAIGgtBQUFBMmR1TW85axooCgIxNhIiCiAIBCocCgtBQUFBMmVaQ29udxAIGgtBQUFBMmVaQ29udxooCgIxNxIiCiAIBCocCgtBQUFBMnZ5WHVEURAIGgtBQUFBMnZ5WHVEURooCgIxOBIiCiAIBCocCgtBQUFBMmVaQ29uNBAIGgtBQUFBMmVaQ29uNBooCgIxORIiCiAIBCocCgtBQUFBMnZ5WHVEVRAIGgtBQUFBMnZ5WHVEVRooCgIyMBIiCiAIBCocCgtBQUFBMnpQRDF6dxAIGgtBQUFBMnpQRDF6dxooCgIyMRIiCiAIBCocCgtBQUFBMmVaQ29vaxAIGgtBQUFBMmVaQ29vaxooCgIyMhIiCiAIBCocCgtBQUFBMmVaQ29vbxAIGgtBQUFBMmVaQ29vbxooCgIyMxIiCiAIBCocCgtBQUFBMnhxaTgwaxAIGgtBQUFBMnhxaTgwaxooCgIyNBIiCiAIBCocCgtBQUFBMmR1TW85cxAIGgtBQUFBMmR1TW85cxooCgIyNRIiCiAIBCocCgtBQUFBMnhxaTgwbxAIGgtBQUFBMnhxaTgwbxooCgIyNhIiCiAIBCocCgtBQUFBMnhxaTgwcxAIGgtBQUFBMnhxaTgwcxooCgIyNxIiCiAIBCocCgtBQUFBMnZ5WHVFTRAIGgtBQUFBMnZ5WHVFTRooCgIyOBIiCiAIBCocCgtBQUFBMnhxaTgwNBAIGgtBQUFBMnhxaTgwNBooCgIyORIiCiAIBCocCgtBQUFBMnhxaTgwOBAIGgtBQUFBMnhxaTgwOBooCgIzMBIiCiAIBCocCgtBQUFBMnhxaTgxQRAIGgtBQUFBMnhxaTgxQRooCgIzMRIiCiAIBCocCgtBQUFBMmVaQ29uMBAIGgtBQUFBMmVaQ29uMCLrAwoLQUFBQTJlWkNtQTgSugMKC0FBQUEyZVpDbUE4EgtBQUFBMmVaQ21BOBowCgl0ZXh0L2h0bWwSI1ZvaXIgYXV0cmUgY29tbWVudGFpcmUgw6AgY2Ugc3VqZXQuIjEKCnRleHQvcGxhaW4SI1ZvaXIgYXV0cmUgY29tbWVudGFpcmUgw6AgY2Ugc3VqZXQuKhsiFTEwMzMwNTY1NzcwNTQzNjg2NjI1NCgAOAAwiZew254xOImXsNueMUrCAQoKdGV4dC9wbGFpbhKzAVLDqWR1Y3Rpb24gZGVzIHJpc3F1ZXMgbG9ycyBkZXMgaW50ZXJ2ZW50aW9ucyBlbiBlc3BhY2UgY2xvcyA6IGTDqXZlbG9wcGVtZW50IGTigJl1bmUgYmFzZSBkZSBjb25uYWlzc2FuY2VzIHN1ciBsYSBwcsOpdmVudGlvbiBpbnRyaW5zw6hxdWUgZXQgbGEgcHJvdGVjdGlvbiBjb2xsZWN0aXZlIChSLTExNjctZnIpWgxmampnYWczdWt2YzlyAiAAeACaAQYIABAAGACqASUSI1ZvaXIgYXV0cmUgY29tbWVudGFpcmUgw6AgY2Ugc3VqZXQusAEAuAEAGImXsNueMSCJl7DbnjEwAEIPa2l4Lm0yYWUxbDIzdzVhItcCCgtBQUFBMnpQRDF6dxKnAgoLQUFBQTJ6UEQxencSC0FBQUEyelBEMXp3GkIKCXRleHQvaHRtbBI1RXN0LWNlIHF1ZSBsZSAmIzM5OyYjMzk7b3UmIzM5OyYjMzk7IGVzdCBvYmxpZ2F0b2lyZT8iMwoKdGV4dC9wbGFpbhIlRXN0LWNlIHF1ZSBsZSAnJ291JycgZXN0IG9ibGlnYXRvaXJlPyobIhUxMDMzMDU2NTc3MDU0MzY4NjYyNTQoADgAMNCIuYifMTjQiLmInzFKEAoKdGV4dC9wbGFpbhICb3VaDDl2YzBlNGNtNTg5cnICIAB4AJoBBggAEAAYAKoBNxI1RXN0LWNlIHF1ZSBsZSAmIzM5OyYjMzk7b3UmIzM5OyYjMzk7IGVzdCBvYmxpZ2F0b2lyZT8Y0Ii5iJ8xINCIuYifMUIQa2l4LmU1ODVqZ25ubzduNiKkAwoLQUFBQTJ2eVh1RmMS8gIKC0FBQUEydnlYdUZjEgtBQUFBMnZ5WHVGYxpTCgl0ZXh0L2h0bWwSRlBldXQtw6p0cmUgYWpvdXRlciA6ICYjMzk7JiMzOTtDZWxsZS1jaSBlc3QgZMOpZmluaWUgYWluc2kgOiYjMzk7JiMzOTsiRAoKdGV4dC9wbGFpbhI2UGV1dC3DqnRyZSBham91dGVyIDogJydDZWxsZS1jaSBlc3QgZMOpZmluaWUgYWluc2kgOicnKhsiFTEwMzMwNTY1NzcwNTQzNjg2NjI1NCgAOAAwvduB054xOL3bgdOeMUoiCgp0ZXh0L3BsYWluEhRwZXJzb25uZSBxdWFsaWZpw6llLloMc3lidDRnaTV4MjBzcgIgAHgAmgEGCAAQABgAqgFIEkZQZXV0LcOqdHJlIGFqb3V0ZXIgOiAmIzM5OyYjMzk7Q2VsbGUtY2kgZXN0IGTDqWZpbmllIGFpbnNpIDomIzM5OyYjMzk7sAEAuAEAGL3bgdOeMSC924HTnjEwAEIQa2l4LnlxZWNjdXV5Y3hmbyLSAgoLQUFBQTJlWkNvb2sSoAIKC0FBQUEyZVpDb29rEgtBQUFBMmVaQ29vaxoqCgl0ZXh0L2h0bWwSHVZvaXIgY29tbWVudGFpcmUgw6AgY2Ugc3VqZXQuIisKCnRleHQvcGxhaW4SHVZvaXIgY29tbWVudGFpcmUgw6AgY2Ugc3VqZXQuKhsiFTEwMzMwNTY1NzcwNTQzNjg2NjI1NCgAOAAwr9uK3Z4xOK/bit2eMUo7Cgp0ZXh0L3BsYWluEi1Mb2kgc3VyIGxhIHNhbnTDqSBldCBsYSBzw6ljdXJpdMOpIGR1IHRyYXZhaWxaDGY1ZWpod2k4eml2dXICIAB4AJoBBggAEAAYAKoBHxIdVm9pciBjb21tZW50YWlyZSDDoCBjZSBzdWpldC6wAQC4AQAYr9uK3Z4xIK/bit2eMTAAQhBraXgubnE5NTBwbmhoOG5jIoQFCgtBQUFBMnZ5WHVGVRLTBAoLQUFBQTJ2eVh1RlUSC0FBQUEydnlYdUZVGqMBCgl0ZXh0L2h0bWwSlQFOb3VzIGF2aW9ucyBkw6lqw6AgcGFybMOpIGRlIMOnYSwgbWFpcyBqZSBjcm9pcyBxdWUgJiMzOTsmIzM5O3ZhbGV1cnMgZXNzZW50aWVsbGVzIMOgIGxhIHLDqXVzc2l0ZSBkZSBjZXR0ZSBtaXNzaW9uJiMzOTsmIzM5OyBzZXJhaXQgcGx1cyBhcHByb3ByacOpLiKUAQoKdGV4dC9wbGFpbhKFAU5vdXMgYXZpb25zIGTDqWrDoCBwYXJsw6kgZGUgw6dhLCBtYWlzIGplIGNyb2lzIHF1ZSAnJ3ZhbGV1cnMgZXNzZW50aWVsbGVzIMOgIGxhIHLDqXVzc2l0ZSBkZSBjZXR0ZSBtaXNzaW9uJycgc2VyYWl0IHBsdXMgYXBwcm9wcmnDqS4qGyIVMTAzMzA1NjU3NzA1NDM2ODY2MjU0KAA4ADDd6pjSnjE43eqY0p4xShAKCnRleHQvcGxhaW4SAmRlWgxrajQ2Zmo5eGRkdDRyAiAAeACaAQYIABAAGACqAZgBEpUBTm91cyBhdmlvbnMgZMOpasOgIHBhcmzDqSBkZSDDp2EsIG1haXMgamUgY3JvaXMgcXVlICYjMzk7JiMzOTt2YWxldXJzIGVzc2VudGllbGxlcyDDoCBsYSByw6l1c3NpdGUgZGUgY2V0dGUgbWlzc2lvbiYjMzk7JiMzOTsgc2VyYWl0IHBsdXMgYXBwcm9wcmnDqS6wAQC4AQAY3eqY0p4xIN3qmNKeMTAAQg9raXguZmUxczJ0c2Y0NmIiogIKC0FBQUEydnlYdURVEvABCgtBQUFBMnZ5WHVEVRILQUFBQTJ2eVh1RFUaIgoJdGV4dC9odG1sEhVEYW5zIGNldCBlc3BhY2UgY2xvcz8iIwoKdGV4dC9wbGFpbhIVRGFucyBjZXQgZXNwYWNlIGNsb3M/KhsiFTEwMzMwNTY1NzcwNTQzNjg2NjI1NCgAOAAwh9G+0J4xOIfRvtCeMUojCgp0ZXh0L3BsYWluEhVwb3VyIGNldCBlc3BhY2UgY2xvcztaDHVhdHY3dHBrdHo3b3ICIAB4AJoBBggAEAAYAKoBFxIVRGFucyBjZXQgZXNwYWNlIGNsb3M/sAEAuAEAGIfRvtCeMSCH0b7QnjEwAEIQa2l4Lmh6a3c5dGF0ZHhtNyKWBwoLQUFBQTJ4cWk4MDgS5AYKC0FBQUEyeHFpODA4EgtBQUFBMnhxaTgwOBr9AQoJdGV4dC9odG1sEu8BQ2UgbiYjMzk7ZXN0IHBhcyBiaWVuIGdyYXZlLCBtYWlzIGxlIHZlcmJlICYjMzk7JiMzOTtlZmZlY3R1ZXImIzM5OyYjMzk7IGVzdCB1dGlsaXPDqSAyeCBkYW5zIGxhIG3Dqm1lIHBocmFzZS4gT24gcG91cnJhaXQgZW4gcmVtcGxhY2VyIHVuIGRlcyBkZXV4IHBhciB1biBzeW5vbnltZSwgdGFudCBxdWUgbGUgc2VucyBkZW1ldXJlIGxlIG3Dqm1lIChwcm9jw6lkZXIgw6AsIHLDqWFsaXNlciwgZXjDqWN1dGVyLi4uKS4i6gEKCnRleHQvcGxhaW4S2wFDZSBuJ2VzdCBwYXMgYmllbiBncmF2ZSwgbWFpcyBsZSB2ZXJiZSAnJ2VmZmVjdHVlcicnIGVzdCB1dGlsaXPDqSAyeCBkYW5zIGxhIG3Dqm1lIHBocmFzZS4gT24gcG91cnJhaXQgZW4gcmVtcGxhY2VyIHVuIGRlcyBkZXV4IHBhciB1biBzeW5vbnltZSwgdGFudCBxdWUgbGUgc2VucyBkZW1ldXJlIGxlIG3Dqm1lIChwcm9jw6lkZXIgw6AsIHLDqWFsaXNlciwgZXjDqWN1dGVyLi4uKS4qGyIVMTAzMzA1NjU3NzA1NDM2ODY2MjU0KAA4ADDW5vz7njE41ub8+54xShcKCnRleHQvcGxhaW4SCWVmZmVjdHVlcloMeWlza2N5a3FrOTQ4cgIgAHgAmgEGCAAQABgAqgHyARLvAUNlIG4mIzM5O2VzdCBwYXMgYmllbiBncmF2ZSwgbWFpcyBsZSB2ZXJiZSAmIzM5OyYjMzk7ZWZmZWN0dWVyJiMzOTsmIzM5OyBlc3QgdXRpbGlzw6kgMnggZGFucyBsYSBtw6ptZSBwaHJhc2UuIE9uIHBvdXJyYWl0IGVuIHJlbXBsYWNlciB1biBkZXMgZGV1eCBwYXIgdW4gc3lub255bWUsIHRhbnQgcXVlIGxlIHNlbnMgZGVtZXVyZSBsZSBtw6ptZSAocHJvY8OpZGVyIMOgLCByw6lhbGlzZXIsIGV4w6ljdXRlci4uLikusAEAuAEAGNbm/PueMSDW5vz7njEwAEIQa2l4LnEyM3FqNnQ0dzRhZCLWBgoLQUFBQTJlWkNtQTQSpAYKC0FBQUEyZVpDbUE0EgtBQUFBMmVaQ21BNBpECgl0ZXh0L2h0bWwSN01ldHRyZSBkZXMgcG9pbnRzIGNvbW1lIHVuIHBldSBwbHVzIGhhdXQgZGFucyBsZSB0ZXh0ZT8iRQoKdGV4dC9wbGFpbhI3TWV0dHJlIGRlcyBwb2ludHMgY29tbWUgdW4gcGV1IHBsdXMgaGF1dCBkYW5zIGxlIHRleHRlPyobIhUxMDMzMDU2NTc3MDU0MzY4NjYyNTQoADgAMImYrdueMTiJmK3bnjFK8AMKCnRleHQvcGxhaW4S4QNzdXBwcmltZXIgY29tcGzDqHRlbWVudCBs4oCZZXNwYWNlIGNsb3M7CmludGVydmVuaXIgw6AgcGFydGlyIGRlIGzigJlleHTDqXJpZXVyIGRlIGzigJllc3BhY2UgY2xvczsKcsOpZHVpcmUgbGEgZnLDqXF1ZW5jZSBkZXMgaW50ZXJ2ZW50aW9uczsKY29udHLDtGxlciBsZXMgcmlzcXVlcyBhdG1vc3Bow6lyaXF1ZXMsIGTigJllbnNldmVsaXNzZW1lbnQgb3UgZGUgbm95YWRlOwpmYWNpbGl0ZXIgbOKAmWVudHLDqWUgZXQgbGEgc29ydGllLCBsZXMgZMOpcGxhY2VtZW50cyDDoCBs4oCZaW50w6lyaWV1ciwgYWluc2kgcXVlIGxlIHNhdXZldGFnZTsKY29udHLDtGxlciBs4oCZYWNjw6hzIGV0IHByw6l2ZW5pciBsZXMgY2h1dGVzOwpjb250csO0bGVyIGxlcyBhdXRyZXMgcmlzcXVlcyBwb3V2YW50IGNvbXByb21ldHRyZSBsYSBzYW50w6kgZXQgbGEgc8OpY3VyaXTDqSBk4oCZdW5lIHRyYXZhaWxsZXVzZSBvdSBk4oCZdW4gdHJhdmFpbGxldXIuWgxvZGo5MnZxMWs2OGZyAiAAeACaAQYIABAAGACqATkSN01ldHRyZSBkZXMgcG9pbnRzIGNvbW1lIHVuIHBldSBwbHVzIGhhdXQgZGFucyBsZSB0ZXh0ZT+wAQC4AQAYiZit254xIImYrdueMTAAQhBraXguNmp6YnB5bmozbHF3Iq4CCgtBQUFBMnZ5WHVFTRL8AQoLQUFBQTJ2eVh1RU0SC0FBQUEydnlYdUVNGiYKCXRleHQvaHRtbBIZTGVzIHBlcnNvbm5lcyBhZMOpcXVhdGVzPyInCgp0ZXh0L3BsYWluEhlMZXMgcGVyc29ubmVzIGFkw6lxdWF0ZXM/KhsiFTEwMzMwNTY1NzcwNTQzNjg2NjI1NCgAOAAw9rf90J4xOPa3/dCeMUojCgp0ZXh0L3BsYWluEhVsZXMgYm9ubmVzIHBlcnNvbm5lcy5aDHU4N3NtYnU0dDRlN3ICIAB4AJoBBggAEAAYAKoBGxIZTGVzIHBlcnNvbm5lcyBhZMOpcXVhdGVzP7ABALgBABj2t/3QnjEg9rf90J4xMABCEGtpeC5hZ3phZGcyNWRyeTQipQMKC0FBQUEydnlYdUZnEvMCCgtBQUFBMnZ5WHVGZxILQUFBQTJ2eVh1RmcaPQoJdGV4dC9odG1sEjBWb2lyIGNvbW1lbnRhaXJlIHByw6ljw6lkZW50IHN1ciBsZXMgaHlwZXJsaWVucy4iPgoKdGV4dC9wbGFpbhIwVm9pciBjb21tZW50YWlyZSBwcsOpY8OpZGVudCBzdXIgbGVzIGh5cGVybGllbnMuKhsiFTEwMzMwNTY1NzcwNTQzNjg2NjI1NCgAOAAwt62m054xOLetptOeMUpVCgp0ZXh0L3BsYWluEkdFLkNMT1PCoDogdW4gb3V0aWwgcG91ciBsYSBnZXN0aW9uIGRlcyByaXNxdWVzIGVuIGVzcGFjZXMgY2xvcyAoSVJTU1QpLloMbWVpdzlpeHFpOXF1cgIgAHgAmgEGCAAQABgAqgEyEjBWb2lyIGNvbW1lbnRhaXJlIHByw6ljw6lkZW50IHN1ciBsZXMgaHlwZXJsaWVucy6wAQC4AQAYt62m054xILetptOeMTAAQhBraXgueWpyZHl6OWdyMjQxItIECgtBQUFBMmVaQ29vbxKgBAoLQUFBQTJlWkNvb28SC0FBQUEyZVpDb29vGpYBCgl0ZXh0L2h0bWwSiAFSZW1wbGFjZXIgcGFyOiAmIzM5OyYjMzk7U2kgYyYjMzk7ZXN0IGltcG9zc2libGUmIzM5OyYjMzk7IE9VICYjMzk7JiMzOTtTaSBjZSBuJiMzOTtlc3QgcGFzIGVudmlzYWdlYWJsZSYjMzk7JiMzOTsgcG91ciBwbHVzIGRlIGNsYXJ0w6kuIm4KCnRleHQvcGxhaW4SYFJlbXBsYWNlciBwYXI6ICcnU2kgYydlc3QgaW1wb3NzaWJsZScnIE9VICcnU2kgY2Ugbidlc3QgcGFzIGVudmlzYWdlYWJsZScnIHBvdXIgcGx1cyBkZSBjbGFydMOpLiobIhUxMDMzMDU2NTc3MDU0MzY4NjYyNTQoADgAMOeisN2eMTjowpz7njFKHgoKdGV4dC9wbGFpbhIQTGUgY2FzIMOpY2jDqWFudFoMNW9pNTBocHU5aG9mcgIgAHgAmgEGCAAQABgAqgGLARKIAVJlbXBsYWNlciBwYXI6ICYjMzk7JiMzOTtTaSBjJiMzOTtlc3QgaW1wb3NzaWJsZSYjMzk7JiMzOTsgT1UgJiMzOTsmIzM5O1NpIGNlIG4mIzM5O2VzdCBwYXMgZW52aXNhZ2VhYmxlJiMzOTsmIzM5OyBwb3VyIHBsdXMgZGUgY2xhcnTDqS6wAQC4AQAY56Kw3Z4xIOjCnPueMTAAQhBraXguOXdjZXpzdHFic2hsIu8DCgtBQUFBMmR1TW91OBK9AwoLQUFBQTJkdU1vdTgSC0FBQUEyZHVNb3U4GnIKCXRleHQvaHRtbBJlUGV1dC3DqnRyZSBham91dGVyICYjMzk7JiMzOTtvdSB1biBzZXVsIHBvdXIgdG91cyBsZXMgZXNwYWNlcyBjbG9zLi4uJiMzOTsmIzM5OyBwb3VyIHBsdXMgZGUgY2xhcnTDqS4iYwoKdGV4dC9wbGFpbhJVUGV1dC3DqnRyZSBham91dGVyICcnb3UgdW4gc2V1bCBwb3VyIHRvdXMgbGVzIGVzcGFjZXMgY2xvcy4uLicnIHBvdXIgcGx1cyBkZSBjbGFydMOpLiobIhUxMDMzMDU2NTc3MDU0MzY4NjYyNTQoADgAMJWOxICfMTiVjsSAnzFKEAoKdGV4dC9wbGFpbhICb3VaDDhhMnJscmpvZ3ltOHICIAB4AJoBBggAEAAYAKoBZxJlUGV1dC3DqnRyZSBham91dGVyICYjMzk7JiMzOTtvdSB1biBzZXVsIHBvdXIgdG91cyBsZXMgZXNwYWNlcyBjbG9zLi4uJiMzOTsmIzM5OyBwb3VyIHBsdXMgZGUgY2xhcnTDqS6wAQC4AQAYlY7EgJ8xIJWOxICfMTAAQhBraXgueHMzMGxtYmwwaXRhIv4ECgtBQUFBMmR1TW85axLMBAoLQUFBQTJkdU1vOWsSC0FBQUEyZHVNbzlrGpwBCgl0ZXh0L2h0bWwSjgFQZXV0LcOqdHJlIGFqb3V0ZXIgJiMzOTsmIzM5O2xhIGZpY2hlJiMzOTsmIzM5OyBvdSAmIzM5OyYjMzk7bGUgZG9jdW1lbnQmIzM5OyYjMzk7IGF2YW50IGxlIHRpdHJlPyBPdSBqdXN0ZSBham91dGVyIHVuICYjMzk7JiMzOTtsYSYjMzk7JiMzOTs/ImwKCnRleHQvcGxhaW4SXlBldXQtw6p0cmUgYWpvdXRlciAnJ2xhIGZpY2hlJycgb3UgJydsZSBkb2N1bWVudCcnIGF2YW50IGxlIHRpdHJlPyBPdSBqdXN0ZSBham91dGVyIHVuICcnbGEnJz8qGyIVMTAzMzA1NjU3NzA1NDM2ODY2MjU0KAA4ADDXqpCCnzE416qQgp8xSkAKCnRleHQvcGxhaW4SMnNvaXQgwqvCoFByb2PDqWR1cmUgZOKAmWVudHLDqWUgZW4gZXNwYWNlIGNsb3PCoMK7WgxqODRndjgyZGZqcWtyAiAAeACaAQYIABAAGACqAZEBEo4BUGV1dC3DqnRyZSBham91dGVyICYjMzk7JiMzOTtsYSBmaWNoZSYjMzk7JiMzOTsgb3UgJiMzOTsmIzM5O2xlIGRvY3VtZW50JiMzOTsmIzM5OyBhdmFudCBsZSB0aXRyZT8gT3UganVzdGUgYWpvdXRlciB1biAmIzM5OyYjMzk7bGEmIzM5OyYjMzk7P7ABALgBABjXqpCCnzEg16qQgp8xMABCEGtpeC53c3BqOW1vaWVmYTEiuwoKC0FBQUEyeHFpODFBEokKCgtBQUFBMnhxaTgxQRILQUFBQTJ4cWk4MUEajwMKCXRleHQvaHRtbBKBA1NpIG9uIGNvbnNpZMOocmUgcXVlIGxlcyBzb3VzLXRyYWl0YW50cyBzb250IGRlcyBlbnRyZXByaXNlcyBldCBub24gZGVzIGluZGl2aWR1cywgYyYjMzk7ZXN0IHVuIHBldSBtw6lsYW5nZWFudCBkZSBwYXJsZXIgZGUgJiMzOTsmIzM5O3BlcnNvbm5lcyYjMzk7JiMzOTsgcGx1cyBsb2luLiBCaWVuIHPDu3IsIGNlbGEgaW5jbHV0IGxlcyBwZXJzb25uZXMgbW9yYWxlcyBldCBwaHlzaXF1ZXMgcXVpIG5lIHNvbnQgcGFzIGRlcyDDqnRyZXMgaHVtYWlucywgbWFpcyDDp2EgcG91cnJhaXQgY3LDqWVyIGRlIGxhIGNvbmZ1c2lvbiBwb3VyIGxlIGxlY3RldXIuIFBldXQtw6p0cmUgYWpvdXRlciAmIzM5OyYjMzk7Y2VzIHBlcnNvbm5lcyBldCBvcmdhbmlzbWVzJiMzOTsmIzM5Oz8i7AIKCnRleHQvcGxhaW4S3QJTaSBvbiBjb25zaWTDqHJlIHF1ZSBsZXMgc291cy10cmFpdGFudHMgc29udCBkZXMgZW50cmVwcmlzZXMgZXQgbm9uIGRlcyBpbmRpdmlkdXMsIGMnZXN0IHVuIHBldSBtw6lsYW5nZWFudCBkZSBwYXJsZXIgZGUgJydwZXJzb25uZXMnJyBwbHVzIGxvaW4uIEJpZW4gc8O7ciwgY2VsYSBpbmNsdXQgbGVzIHBlcnNvbm5lcyBtb3JhbGVzIGV0IHBoeXNpcXVlcyBxdWkgbmUgc29udCBwYXMgZGVzIMOqdHJlcyBodW1haW5zLCBtYWlzIMOnYSBwb3VycmFpdCBjcsOpZXIgZGUgbGEgY29uZnVzaW9uIHBvdXIgbGUgbGVjdGV1ci4gUGV1dC3DqnRyZSBham91dGVyICcnY2VzIHBlcnNvbm5lcyBldCBvcmdhbmlzbWVzJyc/KhsiFTEwMzMwNTY1NzcwNTQzNjg2NjI1NCgAOAAw3LSH/J4xONy0h/yeMUoXCgp0ZXh0L3BsYWluEglwZXJzb25uZXNaCzdkZ2o5cXU5czl0cgIgAHgAmgEGCAAQABgAqgGEAxKBA1NpIG9uIGNvbnNpZMOocmUgcXVlIGxlcyBzb3VzLXRyYWl0YW50cyBzb250IGRlcyBlbnRyZXByaXNlcyBldCBub24gZGVzIGluZGl2aWR1cywgYyYjMzk7ZXN0IHVuIHBldSBtw6lsYW5nZWFudCBkZSBwYXJsZXIgZGUgJiMzOTsmIzM5O3BlcnNvbm5lcyYjMzk7JiMzOTsgcGx1cyBsb2luLiBCaWVuIHPDu3IsIGNlbGEgaW5jbHV0IGxlcyBwZXJzb25uZXMgbW9yYWxlcyBldCBwaHlzaXF1ZXMgcXVpIG5lIHNvbnQgcGFzIGRlcyDDqnRyZXMgaHVtYWlucywgbWFpcyDDp2EgcG91cnJhaXQgY3LDqWVyIGRlIGxhIGNvbmZ1c2lvbiBwb3VyIGxlIGxlY3RldXIuIFBldXQtw6p0cmUgYWpvdXRlciAmIzM5OyYjMzk7Y2VzIHBlcnNvbm5lcyBldCBvcmdhbmlzbWVzJiMzOTsmIzM5Oz+wAQC4AQAY3LSH/J4xINy0h/yeMTAAQhBraXguemgzeHNmYXpibWloIpckCgtBQUFBMnZ5WHVEQRLmIwoLQUFBQTJ2eVh1REESC0FBQUEydnlYdURBGu4NCgl0ZXh0L2h0bWwS4A1JbCBuZSBmYXV0IHBhcyBtZXR0cmUgbGUgKGUpIGRhbnMgY2UgY2FzLWNpIDo8YnI+RG91YmxldCBmb3Jtw6kgYXZlYyBldDxicj5TZWxvbiBsYSByw6hnbGUgaGFiaXR1ZWxsZSBk4oCZYWNjb3JkLCBs4oCZYWRqZWN0aWYgKG91IGxlIHBhcnRpY2lwZSBwYXNzw6kpLCBkYW5zIHVuIGRvdWJsZXQsIHPigJlhY2NvcmRlIGF1IG1hc2N1bGluIHBsdXJpZWwgbG9yc3F14oCZaWwgc2UgcmFwcG9ydGUgw6AgbGEgZm9pcyDDoCB1biBub20gKG91IHByb25vbSkgbWFzY3VsaW4gZXQgw6AgdW4gbm9tIChvdSBwcm9ub20pIGbDqW1pbmluIGNvb3Jkb25uw6lzIHBhciBldCwgbcOqbWUgbG9yc3F1ZSBjaGFjdW4gZGUgY2VzIG5vbXMgZXN0IGF1IHNpbmd1bGllciwgZW4gcmFpc29uIGR1IHNlbnMgZOKAmWFkZGl0aW9uIGF0dGFjaMOpIMOgIGNldHRlIDxicj5jb25qb25jdGlvbjxicj5BZmZpY2hlciBsJiMzOTtpbmZvYnVsbGUuPGJyPjxicj5MZXMgZGlyZWN0cmljZXMgZXQgbGVzIGRpcmVjdGV1cnMgcXVpIG5lIHBldXZlbnQgw6p0cmUgcHLDqXNlbnRzIMOgIGNldHRlIHLDqXVuaW9uIG9udCBkw6lqw6AgcmXDp3UgbGUgZG9jdW1lbnQgZOKAmW9yaWVudGF0aW9uLjxicj48YSBocmVmPSJodHRwczovL3d3dy5nb29nbGUuY29tL3VybD9xPWh0dHBzOi8vdml0cmluZWxpbmd1aXN0aXF1ZS5vcWxmLmdvdXYucWMuY2EvMjM5OTcvbGEtcmVkYWN0aW9uLWV0LWxhLWNvbW11bmljYXRpb24vZmVtaW5pc2F0aW9uLWV0LXJlZGFjdGlvbi1lcGljZW5lL3JlZGFjdGlvbi1lcGljZW5lL2RvdWJsZXRzLWNvbXBsZXRzL2FjY29yZC1kZS1sYWRqZWN0aWYtc2UtcmFwcG9ydGFudC1hLXVuLWRvdWJsZXQlMjM6fjp0ZXh0JTNERW4lMjUyMHIlMjVDMyUyNUE5ZGFjdGlvbiUyNTIwJTI1QzMlMjVBOXBpYyUyNUMzJTI1QThuZSUyNTJDJTI1MjBhcHIlMjVDMyUyNUE4cyUyNTIwdW4sZXQlMjUyMGYlMjVDMyUyNUE5bWluaW4lMjUyMGNvb3Jkb25uJTI1QzMlMjVBOXMlMjUyMHBhciUyNTIwZXQmYW1wO3NhPUQmYW1wO3NvdXJjZT1kb2NzJmFtcDt1c3Q9MTY5MTk2OTc4NjkzMzI2NiZhbXA7dXNnPUFPdlZhdzBDbE9XWHZSTWFLREsxTTVsdmh2WGQiIGRhdGEtcmF3SHJlZj0iaHR0cHM6Ly92aXRyaW5lbGluZ3Vpc3RpcXVlLm9xbGYuZ291di5xYy5jYS8yMzk5Ny9sYS1yZWRhY3Rpb24tZXQtbGEtY29tbXVuaWNhdGlvbi9mZW1pbmlzYXRpb24tZXQtcmVkYWN0aW9uLWVwaWNlbmUvcmVkYWN0aW9uLWVwaWNlbmUvZG91YmxldHMtY29tcGxldHMvYWNjb3JkLWRlLWxhZGplY3RpZi1zZS1yYXBwb3J0YW50LWEtdW4tZG91YmxldCM6fjp0ZXh0PUVuJTIwciVDMyVBOWRhY3Rpb24lMjAlQzMlQTlwaWMlQzMlQThuZSUyQyUyMGFwciVDMyVBOHMlMjB1bixldCUyMGYlQzMlQTltaW5pbiUyMGNvb3Jkb25uJUMzJUE5cyUyMHBhciUyMGV0IiB0YXJnZXQ9Il9ibGFuayI+aHR0cHM6Ly92aXRyaW5lbGluZ3Vpc3RpcXVlLm9xbGYuZ291di5xYy5jYS8yMzk5Ny9sYS1yZWRhY3Rpb24tZXQtbGEtY29tbXVuaWNhdGlvbi9mZW1pbmlzYXRpb24tZXQtcmVkYWN0aW9uLWVwaWNlbmUvcmVkYWN0aW9uLWVwaWNlbmUvZG91YmxldHMtY29tcGxldHMvYWNjb3JkLWRlLWxhZGplY3RpZi1zZS1yYXBwb3J0YW50LWEtdW4tZG91YmxldCM6fjp0ZXh0PUVuJTIwciVDMyVBOWRhY3Rpb24lMjAlQzMlQTlwaWMlQzMlQThuZSUyQyUyMGFwciVDMyVBOHMlMjB1bixldCUyMGYlQzMlQTltaW5pbiUyMGNvb3Jkb25uJUMzJUE5cyUyMHBhciUyMGV0PC9hPiKPBwoKdGV4dC9wbGFpbhKAB0lsIG5lIGZhdXQgcGFzIG1ldHRyZSBsZSAoZSkgZGFucyBjZSBjYXMtY2kgOgpEb3VibGV0IGZvcm3DqSBhdmVjIGV0ClNlbG9uIGxhIHLDqGdsZSBoYWJpdHVlbGxlIGTigJlhY2NvcmQsIGzigJlhZGplY3RpZiAob3UgbGUgcGFydGljaXBlIHBhc3PDqSksIGRhbnMgdW4gZG91YmxldCwgc+KAmWFjY29yZGUgYXUgbWFzY3VsaW4gcGx1cmllbCBsb3JzcXXigJlpbCBzZSByYXBwb3J0ZSDDoCBsYSBmb2lzIMOgIHVuIG5vbSAob3UgcHJvbm9tKSBtYXNjdWxpbiBldCDDoCB1biBub20gKG91IHByb25vbSkgZsOpbWluaW4gY29vcmRvbm7DqXMgcGFyIGV0LCBtw6ptZSBsb3JzcXVlIGNoYWN1biBkZSBjZXMgbm9tcyBlc3QgYXUgc2luZ3VsaWVyLCBlbiByYWlzb24gZHUgc2VucyBk4oCZYWRkaXRpb24gYXR0YWNow6kgw6AgY2V0dGUgCmNvbmpvbmN0aW9uCkFmZmljaGVyIGwnaW5mb2J1bGxlLgoKTGVzIGRpcmVjdHJpY2VzIGV0IGxlcyBkaXJlY3RldXJzIHF1aSBuZSBwZXV2ZW50IMOqdHJlIHByw6lzZW50cyDDoCBjZXR0ZSByw6l1bmlvbiBvbnQgZMOpasOgIHJlw6d1IGxlIGRvY3VtZW50IGTigJlvcmllbnRhdGlvbi4KaHR0cHM6Ly92aXRyaW5lbGluZ3Vpc3RpcXVlLm9xbGYuZ291di5xYy5jYS8yMzk5Ny9sYS1yZWRhY3Rpb24tZXQtbGEtY29tbXVuaWNhdGlvbi9mZW1pbmlzYXRpb24tZXQtcmVkYWN0aW9uLWVwaWNlbmUvcmVkYWN0aW9uLWVwaWNlbmUvZG91YmxldHMtY29tcGxldHMvYWNjb3JkLWRlLWxhZGplY3RpZi1zZS1yYXBwb3J0YW50LWEtdW4tZG91YmxldCM6fjp0ZXh0PUVuJTIwciVDMyVBOWRhY3Rpb24lMjAlQzMlQTlwaWMlQzMlQThuZSUyQyUyMGFwciVDMyVBOHMlMjB1bixldCUyMGYlQzMlQTltaW5pbiUyMGNvb3Jkb25uJUMzJUE5cyUyMHBhciUyMGV0KhsiFTEwMzMwNTY1NzcwNTQzNjg2NjI1NCgAOAAwuMmj0J4xOLjJo9CeMUoSCgp0ZXh0L3BsYWluEgQoZSlzWgwzYnc3ZmkzZmdrNDlyAiAAeACaAQYIABAAGACqAeMNEuANSWwgbmUgZmF1dCBwYXMgbWV0dHJlIGxlIChlKSBkYW5zIGNlIGNhcy1jaSA6PGJyPkRvdWJsZXQgZm9ybcOpIGF2ZWMgZXQ8YnI+U2Vsb24gbGEgcsOoZ2xlIGhhYml0dWVsbGUgZOKAmWFjY29yZCwgbOKAmWFkamVjdGlmIChvdSBsZSBwYXJ0aWNpcGUgcGFzc8OpKSwgZGFucyB1biBkb3VibGV0LCBz4oCZYWNjb3JkZSBhdSBtYXNjdWxpbiBwbHVyaWVsIGxvcnNxdeKAmWlsIHNlIHJhcHBvcnRlIMOgIGxhIGZvaXMgw6AgdW4gbm9tIChvdSBwcm9ub20pIG1hc2N1bGluIGV0IMOgIHVuIG5vbSAob3UgcHJvbm9tKSBmw6ltaW5pbiBjb29yZG9ubsOpcyBwYXIgZXQsIG3Dqm1lIGxvcnNxdWUgY2hhY3VuIGRlIGNlcyBub21zIGVzdCBhdSBzaW5ndWxpZXIsIGVuIHJhaXNvbiBkdSBzZW5zIGTigJlhZGRpdGlvbiBhdHRhY2jDqSDDoCBjZXR0ZSA8YnI+Y29uam9uY3Rpb248YnI+QWZmaWNoZXIgbCYjMzk7aW5mb2J1bGxlLjxicj48YnI+TGVzIGRpcmVjdHJpY2VzIGV0IGxlcyBkaXJlY3RldXJzIHF1aSBuZSBwZXV2ZW50IMOqdHJlIHByw6lzZW50cyDDoCBjZXR0ZSByw6l1bmlvbiBvbnQgZMOpasOgIHJlw6d1IGxlIGRvY3VtZW50IGTigJlvcmllbnRhdGlvbi48YnI+PGEgaHJlZj0iaHR0cHM6Ly93d3cuZ29vZ2xlLmNvbS91cmw/cT1odHRwczovL3ZpdHJpbmVsaW5ndWlzdGlxdWUub3FsZi5nb3V2LnFjLmNhLzIzOTk3L2xhLXJlZGFjdGlvbi1ldC1sYS1jb21tdW5pY2F0aW9uL2ZlbWluaXNhdGlvbi1ldC1yZWRhY3Rpb24tZXBpY2VuZS9yZWRhY3Rpb24tZXBpY2VuZS9kb3VibGV0cy1jb21wbGV0cy9hY2NvcmQtZGUtbGFkamVjdGlmLXNlLXJhcHBvcnRhbnQtYS11bi1kb3VibGV0JTIzOn46dGV4dCUzREVuJTI1MjByJTI1QzMlMjVBOWRhY3Rpb24lMjUyMCUyNUMzJTI1QTlwaWMlMjVDMyUyNUE4bmUlMjUyQyUyNTIwYXByJTI1QzMlMjVBOHMlMjUyMHVuLGV0JTI1MjBmJTI1QzMlMjVBOW1pbmluJTI1MjBjb29yZG9ubiUyNUMzJTI1QTlzJTI1MjBwYXIlMjUyMGV0JmFtcDtzYT1EJmFtcDtzb3VyY2U9ZG9jcyZhbXA7dXN0PTE2OTE5Njk3ODY5MzMyNjYmYW1wO3VzZz1BT3ZWYXcwQ2xPV1h2Uk1hS0RLMU01bHZodlhkIiBkYXRhLXJhd2hyZWY9Imh0dHBzOi8vdml0cmluZWxpbmd1aXN0aXF1ZS5vcWxmLmdvdXYucWMuY2EvMjM5OTcvbGEtcmVkYWN0aW9uLWV0LWxhLWNvbW11bmljYXRpb24vZmVtaW5pc2F0aW9uLWV0LXJlZGFjdGlvbi1lcGljZW5lL3JlZGFjdGlvbi1lcGljZW5lL2RvdWJsZXRzLWNvbXBsZXRzL2FjY29yZC1kZS1sYWRqZWN0aWYtc2UtcmFwcG9ydGFudC1hLXVuLWRvdWJsZXQjOn46dGV4dD1FbiUyMHIlQzMlQTlkYWN0aW9uJTIwJUMzJUE5cGljJUMzJUE4bmUlMkMlMjBhcHIlQzMlQThzJTIwdW4sZXQlMjBmJUMzJUE5bWluaW4lMjBjb29yZG9ubiVDMyVBOXMlMjBwYXIlMjBldCIgdGFyZ2V0PSJfYmxhbmsiPmh0dHBzOi8vdml0cmluZWxpbmd1aXN0aXF1ZS5vcWxmLmdvdXYucWMuY2EvMjM5OTcvbGEtcmVkYWN0aW9uLWV0LWxhLWNvbW11bmljYXRpb24vZmVtaW5pc2F0aW9uLWV0LXJlZGFjdGlvbi1lcGljZW5lL3JlZGFjdGlvbi1lcGljZW5lL2RvdWJsZXRzLWNvbXBsZXRzL2FjY29yZC1kZS1sYWRqZWN0aWYtc2UtcmFwcG9ydGFudC1hLXVuLWRvdWJsZXQjOn46dGV4dD1FbiUyMHIlQzMlQTlkYWN0aW9uJTIwJUMzJUE5cGljJUMzJUE4bmUlMkMlMjBhcHIlQzMlQThzJTIwdW4sZXQlMjBmJUMzJUE5bWluaW4lMjBjb29yZG9ubiVDMyVBOXMlMjBwYXIlMjBldDwvYT6wAQC4AQAYuMmj0J4xILjJo9CeMTAAQg9raXguOWw5aGVqNmRhMW8i1gMKC0FBQUEyeHFpODFFEqQDCgtBQUFBMnhxaTgxRRILQUFBQTJ4cWk4MUUacQoJdGV4dC9odG1sEmRKZSBuJiMzOTthcnJpdmUgcGFzIMOgIG1vZGlmaWVyIGxlIHRleHRlLiBJbCBtYW5xdWUgbGUgdGlyZXQgYXZhbnQgJiMzOTsmIzM5O2VzcGFjZXMgY2xvcyYjMzk7JiMzOTsuIl4KCnRleHQvcGxhaW4SUEplIG4nYXJyaXZlIHBhcyDDoCBtb2RpZmllciBsZSB0ZXh0ZS4gSWwgbWFucXVlIGxlIHRpcmV0IGF2YW50ICcnZXNwYWNlcyBjbG9zJycuKhsiFTEwMzMwNTY1NzcwNTQzNjg2NjI1NCgAOAAw9oKk/J4xOPaCpPyeMVoMdHJrM2QyMTd0eWQzcgIgAHgAmgEGCAAQABgAqgFmEmRKZSBuJiMzOTthcnJpdmUgcGFzIMOgIG1vZGlmaWVyIGxlIHRleHRlLiBJbCBtYW5xdWUgbGUgdGlyZXQgYXZhbnQgJiMzOTsmIzM5O2VzcGFjZXMgY2xvcyYjMzk7JiMzOTsusAEAuAEAGPaCpPyeMSD2gqT8njEwAEIQa2l4Lmp6d2FqZXNlOWZ4eCLxAQoLQUFBQTJkdU1vOXMSvwEKC0FBQUEyZHVNbzlzEgtBQUFBMmR1TW85cxoVCgl0ZXh0L2h0bWwSCMOpdGFwZXM/IhYKCnRleHQvcGxhaW4SCMOpdGFwZXM/KhsiFTEwMzMwNTY1NzcwNTQzNjg2NjI1NCgAOAAwzeeEg58xOM3nhIOfMUoZCgp0ZXh0L3BsYWluEgtwcm9jaGFpbmVzLloMa2Q5cm1nZXN3b2ZocgIgAHgAmgEGCAAQABgAqgEKEgjDqXRhcGVzP7ABALgBABjN54SDnzEgzeeEg58xMABCEGtpeC5janprdnI5OWp3anYizwIKC0FBQUEyeHFpODBvEp0CCgtBQUFBMnhxaTgwbxILQUFBQTJ4cWk4MG8aKQoJdGV4dC9odG1sEhxWb2lyIGNvbW1lbnRhaXJlIMOgIGNlIHN1amV0IioKCnRleHQvcGxhaW4SHFZvaXIgY29tbWVudGFpcmUgw6AgY2Ugc3VqZXQqGyIVMTAzMzA1NjU3NzA1NDM2ODY2MjU0KAA4ADCA4MD7njE4gODA+54xSjsKCnRleHQvcGxhaW4SLUxvaSBzdXIgbGEgc2FudMOpIGV0IGxhIHPDqWN1cml0w6kgZHUgdHJhdmFpbFoMdTJtNmtrMWpmY3kycgIgAHgAmgEGCAAQABgAqgEeEhxWb2lyIGNvbW1lbnRhaXJlIMOgIGNlIHN1amV0sAEAuAEAGIDgwPueMSCA4MD7njEwAEIQa2l4LjNoaWwwbWo4OTJ4cCK2BQoLQUFBQTJ2eVh1Rk0ShAUKC0FBQUEydnlYdUZNEgtBQUFBMnZ5WHVGTRqgAQoJdGV4dC9odG1sEpIBTm9ybWFsZW1lbnQsIGNlIG5lIHNlcmFpdCBwYXMgc291bGlnbsOpLCBtYWlzIHNpIGMmIzM5O2VzdCBwbHVzIHNpbXBsZSBwb3VyIGluZGlxdWVyIGxlIGxpZW4gaHlwZXJ0ZXh0ZSwgYyYjMzk7ZXN0IE9LLiBJZGVtIHBvdXIgbGEgY291bGV1ciBibGV1ZS4imQEKCnRleHQvcGxhaW4SigFOb3JtYWxlbWVudCwgY2UgbmUgc2VyYWl0IHBhcyBzb3VsaWduw6ksIG1haXMgc2kgYydlc3QgcGx1cyBzaW1wbGUgcG91ciBpbmRpcXVlciBsZSBsaWVuIGh5cGVydGV4dGUsIGMnZXN0IE9LLiBJZGVtIHBvdXIgbGEgY291bGV1ciBibGV1ZS4qGyIVMTAzMzA1NjU3NzA1NDM2ODY2MjU0KAA4ADCE9ojSnjE4hPaI0p4xSkIKCnRleHQvcGxhaW4SNFLDqGdsZW1lbnQgc3VyIGxhIHNhbnTDqSBldCBsYSBzw6ljdXJpdMOpIGR1IHRyYXZhaWxaDDN5cWh4NDZ5ZjAzOHICIAB4AJoBBggAEAAYAKoBlQESkgFOb3JtYWxlbWVudCwgY2UgbmUgc2VyYWl0IHBhcyBzb3VsaWduw6ksIG1haXMgc2kgYyYjMzk7ZXN0IHBsdXMgc2ltcGxlIHBvdXIgaW5kaXF1ZXIgbGUgbGllbiBoeXBlcnRleHRlLCBjJiMzOTtlc3QgT0suIElkZW0gcG91ciBsYSBjb3VsZXVyIGJsZXVlLrABALgBABiE9ojSnjEghPaI0p4xMABCEGtpeC5tcjEzNXBzdWRtMDgivgYKC0FBQUEyZVpDb240Eo0GCgtBQUFBMmVaQ29uNBILQUFBQTJlWkNvbjQasQEKCXRleHQvaHRtbBKjAUlsIHNlcmFpdCBwcsOpZsOpcmFibGUgZGUgcmVmb3JtdWxlciBwb3VyIMOpdml0ZXIgZGUgbWV0dHJlIGRlcyBwYXJlbnRow6hzZXMgZW50cmUgcGFyZW50aMOoc2VzLiBKZSBwcm9wb3NlIGQmIzM5O3V0aWxpc2VyIGxlIGRldXgtcG9pbnRzIGV0IGRlIGZhaXJlIGRldXggcGhyYXNlcy4irgEKCnRleHQvcGxhaW4SnwFJbCBzZXJhaXQgcHLDqWbDqXJhYmxlIGRlIHJlZm9ybXVsZXIgcG91ciDDqXZpdGVyIGRlIG1ldHRyZSBkZXMgcGFyZW50aMOoc2VzIGVudHJlIHBhcmVudGjDqHNlcy4gSmUgcHJvcG9zZSBkJ3V0aWxpc2VyIGxlIGRldXgtcG9pbnRzIGV0IGRlIGZhaXJlIGRldXggcGhyYXNlcy4qGyIVMTAzMzA1NjU3NzA1NDM2ODY2MjU0KAA4ADCwpKfcnjE4sKSn3J4xSpMBCgp0ZXh0L3BsYWluEoQBKHBlcmNoZSwgbG9uZ2UgZW4gwqvCoFnCoMK7LCBkaXNwb3NpdGlmIGFudGljaHV0ZSAzIGZvbmN0aW9ucyAoYW50aWNodXRlLCBsaWduZSBkZSB2aWUgZXQgcsOpY3Vww6lyYXRpb24gZOKAmXVyZ2VuY2UpLCB0cmV1aWwsIGV0Yy4pWgxlcWxqNGpjbXp4NnhyAiAAeACaAQYIABAAGACqAaYBEqMBSWwgc2VyYWl0IHByw6lmw6lyYWJsZSBkZSByZWZvcm11bGVyIHBvdXIgw6l2aXRlciBkZSBtZXR0cmUgZGVzIHBhcmVudGjDqHNlcyBlbnRyZSBwYXJlbnRow6hzZXMuIEplIHByb3Bvc2UgZCYjMzk7dXRpbGlzZXIgbGUgZGV1eC1wb2ludHMgZXQgZGUgZmFpcmUgZGV1eCBwaHJhc2VzLrABALgBABiwpKfcnjEgsKSn3J4xMABCD2tpeC45aTdxYnF4bzdmeCK2FgoLQUFBQTJ2eVh1RE0ShBYKC0FBQUEydnlYdURNEgtBQUFBMnZ5WHVETRqXCQoJdGV4dC9odG1sEokJSWRlbS7CoDxhIGhyZWY9Imh0dHBzOi8vd3d3Lmdvb2dsZS5jb20vdXJsP3E9aHR0cHM6Ly92aXRyaW5lbGluZ3Vpc3RpcXVlLm9xbGYuZ291di5xYy5jYS8yMzk5Ny9sYS1yZWRhY3Rpb24tZXQtbGEtY29tbXVuaWNhdGlvbi9mZW1pbmlzYXRpb24tZXQtcmVkYWN0aW9uLWVwaWNlbmUvcmVkYWN0aW9uLWVwaWNlbmUvZG91YmxldHMtY29tcGxldHMvYWNjb3JkLWRlLWxhZGplY3RpZi1zZS1yYXBwb3J0YW50LWEtdW4tZG91YmxldCUyMzp+OnRleHQlM0RFbiUyNTIwciUyNUMzJTI1QTlkYWN0aW9uJTI1MjAlMjVDMyUyNUE5cGljJTI1QzMlMjVBOG5lJTI1MkMlMjUyMGFwciUyNUMzJTI1QThzJTI1MjB1bixldCUyNTIwZiUyNUMzJTI1QTltaW5pbiUyNTIwY29vcmRvbm4lMjVDMyUyNUE5cyUyNTIwcGFyJTI1MjBldCZhbXA7c2E9RCZhbXA7c291cmNlPWRvY3MmYW1wO3VzdD0xNjkxOTY5Nzg2OTM1MTc0JmFtcDt1c2c9QU92VmF3MEZtYlFsNkMwWTBZVHBmZU92T0hScyIgZGF0YS1yYXdIcmVmPSJodHRwczovL3ZpdHJpbmVsaW5ndWlzdGlxdWUub3FsZi5nb3V2LnFjLmNhLzIzOTk3L2xhLXJlZGFjdGlvbi1ldC1sYS1jb21tdW5pY2F0aW9uL2ZlbWluaXNhdGlvbi1ldC1yZWRhY3Rpb24tZXBpY2VuZS9yZWRhY3Rpb24tZXBpY2VuZS9kb3VibGV0cy1jb21wbGV0cy9hY2NvcmQtZGUtbGFkamVjdGlmLXNlLXJhcHBvcnRhbnQtYS11bi1kb3VibGV0Izp+OnRleHQ9RW4lMjByJUMzJUE5ZGFjdGlvbiUyMCVDMyVBOXBpYyVDMyVBOG5lJTJDJTIwYXByJUMzJUE4cyUyMHVuLGV0JTIwZiVDMyVBOW1pbmluJTIwY29vcmRvbm4lQzMlQTlzJTIwcGFyJTIwZXQiIHRhcmdldD0iX2JsYW5rIj5odHRwczovL3ZpdHJpbmVsaW5ndWlzdGlxdWUub3FsZi5nb3V2LnFjLmNhLzIzOTk3L2xhLXJlZGFjdGlvbi1ldC1sYS1jb21tdW5pY2F0aW9uL2ZlbWluaXNhdGlvbi1ldC1yZWRhY3Rpb24tZXBpY2VuZS9yZWRhY3Rpb24tZXBpY2VuZS9kb3VibGV0cy1jb21wbGV0cy9hY2NvcmQtZGUtbGFkamVjdGlmLXNlLXJhcHBvcnRhbnQtYS11bi1kb3VibGV0Izp+OnRleHQ9RW4lMjByJUMzJUE5ZGFjdGlvbiUyMCVDMyVBOXBpYyVDMyVBOG5lJTJDJTIwYXByJUMzJUE4cyUyMHVuLGV0JTIwZiVDMyVBOW1pbmluJTIwY29vcmRvbm4lQzMlQTlzJTIwcGFyJTIwZXQ8L2E+ItECCgp0ZXh0L3BsYWluEsICSWRlbS7CoGh0dHBzOi8vdml0cmluZWxpbmd1aXN0aXF1ZS5vcWxmLmdvdXYucWMuY2EvMjM5OTcvbGEtcmVkYWN0aW9uLWV0LWxhLWNvbW11bmljYXRpb24vZmVtaW5pc2F0aW9uLWV0LXJlZGFjdGlvbi1lcGljZW5lL3JlZGFjdGlvbi1lcGljZW5lL2RvdWJsZXRzLWNvbXBsZXRzL2FjY29yZC1kZS1sYWRqZWN0aWYtc2UtcmFwcG9ydGFudC1hLXVuLWRvdWJsZXQjOn46dGV4dD1FbiUyMHIlQzMlQTlkYWN0aW9uJTIwJUMzJUE5cGljJUMzJUE4bmUlMkMlMjBhcHIlQzMlQThzJTIwdW4sZXQlMjBmJUMzJUE5bWluaW4lMjBjb29yZG9ubiVDMyVBOXMlMjBwYXIlMjBldCobIhUxMDMzMDU2NTc3MDU0MzY4NjYyNTQoADgAMJSdstCeMTiUnbLQnjFKHAoKdGV4dC9wbGFpbhIOY29tcMOpdGVudChlKXNaDG5jY2F2OHU2MmtkeHICIAB4AJoBBggAEAAYAKoBjAkSiQlJZGVtLsKgPGEgaHJlZj0iaHR0cHM6Ly93d3cuZ29vZ2xlLmNvbS91cmw/cT1odHRwczovL3ZpdHJpbmVsaW5ndWlzdGlxdWUub3FsZi5nb3V2LnFjLmNhLzIzOTk3L2xhLXJlZGFjdGlvbi1ldC1sYS1jb21tdW5pY2F0aW9uL2ZlbWluaXNhdGlvbi1ldC1yZWRhY3Rpb24tZXBpY2VuZS9yZWRhY3Rpb24tZXBpY2VuZS9kb3VibGV0cy1jb21wbGV0cy9hY2NvcmQtZGUtbGFkamVjdGlmLXNlLXJhcHBvcnRhbnQtYS11bi1kb3VibGV0JTIzOn46dGV4dCUzREVuJTI1MjByJTI1QzMlMjVBOWRhY3Rpb24lMjUyMCUyNUMzJTI1QTlwaWMlMjVDMyUyNUE4bmUlMjUyQyUyNTIwYXByJTI1QzMlMjVBOHMlMjUyMHVuLGV0JTI1MjBmJTI1QzMlMjVBOW1pbmluJTI1MjBjb29yZG9ubiUyNUMzJTI1QTlzJTI1MjBwYXIlMjUyMGV0JmFtcDtzYT1EJmFtcDtzb3VyY2U9ZG9jcyZhbXA7dXN0PTE2OTE5Njk3ODY5MzUxNzQmYW1wO3VzZz1BT3ZWYXcwRm1iUWw2QzBZMFlUcGZlT3ZPSFJzIiBkYXRhLXJhd2hyZWY9Imh0dHBzOi8vdml0cmluZWxpbmd1aXN0aXF1ZS5vcWxmLmdvdXYucWMuY2EvMjM5OTcvbGEtcmVkYWN0aW9uLWV0LWxhLWNvbW11bmljYXRpb24vZmVtaW5pc2F0aW9uLWV0LXJlZGFjdGlvbi1lcGljZW5lL3JlZGFjdGlvbi1lcGljZW5lL2RvdWJsZXRzLWNvbXBsZXRzL2FjY29yZC1kZS1sYWRqZWN0aWYtc2UtcmFwcG9ydGFudC1hLXVuLWRvdWJsZXQjOn46dGV4dD1FbiUyMHIlQzMlQTlkYWN0aW9uJTIwJUMzJUE5cGljJUMzJUE4bmUlMkMlMjBhcHIlQzMlQThzJTIwdW4sZXQlMjBmJUMzJUE5bWluaW4lMjBjb29yZG9ubiVDMyVBOXMlMjBwYXIlMjBldCIgdGFyZ2V0PSJfYmxhbmsiPmh0dHBzOi8vdml0cmluZWxpbmd1aXN0aXF1ZS5vcWxmLmdvdXYucWMuY2EvMjM5OTcvbGEtcmVkYWN0aW9uLWV0LWxhLWNvbW11bmljYXRpb24vZmVtaW5pc2F0aW9uLWV0LXJlZGFjdGlvbi1lcGljZW5lL3JlZGFjdGlvbi1lcGljZW5lL2RvdWJsZXRzLWNvbXBsZXRzL2FjY29yZC1kZS1sYWRqZWN0aWYtc2UtcmFwcG9ydGFudC1hLXVuLWRvdWJsZXQjOn46dGV4dD1FbiUyMHIlQzMlQTlkYWN0aW9uJTIwJUMzJUE5cGljJUMzJUE4bmUlMkMlMjBhcHIlQzMlQThzJTIwdW4sZXQlMjBmJUMzJUE5bWluaW4lMjBjb29yZG9ubiVDMyVBOXMlMjBwYXIlMjBldDwvYT6wAQC4AQAYlJ2y0J4xIJSdstCeMTAAQhBraXgucGRlM2Jpd3BlMDNhIocCCgtBQUFBMnhxaTgwcxLVAQoLQUFBQTJ4cWk4MHMSC0FBQUEyeHFpODBzGhEKCXRleHQvaHRtbBIEaWRlbSISCgp0ZXh0L3BsYWluEgRpZGVtKhsiFTEwMzMwNTY1NzcwNTQzNjg2NjI1NCgAOAAw87/J+54xOPO/yfueMUo7Cgp0ZXh0L3BsYWluEi1Mb2kgc3VyIGxhIHNhbnTDqSBldCBsYSBzw6ljdXJpdMOpIGR1IHRyYXZhaWxaDHNkdXN0Zm1nYTV2aXICIAB4AJoBBggAEAAYAKoBBhIEaWRlbbABALgBABjzv8n7njEg87/J+54xMABCEGtpeC4zeHd0ZnNsMGpybGkikAIKC0FBQUEydnlYdUZREt4BCgtBQUFBMnZ5WHVGURILQUFBQTJ2eVh1RlEaEgoJdGV4dC9odG1sEgVJZGVtLiITCgp0ZXh0L3BsYWluEgVJZGVtLiobIhUxMDMzMDU2NTc3MDU0MzY4NjYyNTQoADgAMKncidKeMTip3InSnjFKQQoKdGV4dC9wbGFpbhIzQ29kZSBkZSBzw6ljdXJpdMOpIHBvdXIgbGVzIHRyYXZhdXggZGUgY29uc3RydWN0aW9uWgw2MHJlaXJsOTJvb3RyAiAAeACaAQYIABAAGACqAQcSBUlkZW0usAEAuAEAGKncidKeMSCp3InSnjEwAEIQa2l4Lm00bGszdmprcTJzZSKFBgoLQUFBQTJlWkNvbncS0wUKC0FBQUEyZVpDb253EgtBQUFBMmVaQ29udxqwAQoJdGV4dC9odG1sEqIBUG91ciBwbHVzIGRlIGNsYXJ0w6ksIG9uIHBvdXJyYWl0IHRlcm1pbmVyIGxhIHBocmFzZSBhdmVjICYjMzk7JiMzOTt0cmF2YWlsbGV1cnMmIzM5OyYjMzk7IGV0IMOpY3JpcmUgOiAmIzM5OyYjMzk7Q2VzIHJpc3F1ZXMgZG9pdmVudCDDqnRyZSBjb250csO0bMOpcy4mIzM5OyYjMzk7IpEBCgp0ZXh0L3BsYWluEoIBUG91ciBwbHVzIGRlIGNsYXJ0w6ksIG9uIHBvdXJyYWl0IHRlcm1pbmVyIGxhIHBocmFzZSBhdmVjICcndHJhdmFpbGxldXJzJycgZXQgw6ljcmlyZSA6ICcnQ2VzIHJpc3F1ZXMgZG9pdmVudCDDqnRyZSBjb250csO0bMOpcy4nJyobIhUxMDMzMDU2NTc3MDU0MzY4NjYyNTQoADgAMMHbkdyeMTjB25HcnjFKeQoKdGV4dC9wbGFpbhJrcmlzcXVlcyBwb3VyIGxhIHNhbnTDqSBldCBsYSBzw6ljdXJpdMOpIGRlcyB0cmF2YWlsbGV1c2VzIGV0IGRlcyB0cmF2YWlsbGV1cnMgcXVpIGRvaXZlbnQgw6p0cmUgY29udHLDtGzDqXNaDDVraDNpcmplbHN0YXICIAB4AJoBBggAEAAYAKoBpQESogFQb3VyIHBsdXMgZGUgY2xhcnTDqSwgb24gcG91cnJhaXQgdGVybWluZXIgbGEgcGhyYXNlIGF2ZWMgJiMzOTsmIzM5O3RyYXZhaWxsZXVycyYjMzk7JiMzOTsgZXQgw6ljcmlyZSA6ICYjMzk7JiMzOTtDZXMgcmlzcXVlcyBkb2l2ZW50IMOqdHJlIGNvbnRyw7Rsw6lzLiYjMzk7JiMzOTuwAQC4AQAYwduR3J4xIMHbkdyeMTAAQhBraXguZWdpbTFyZTlrOXkwIqcCCgtBQUFBMnZ5WHVEURL1AQoLQUFBQTJ2eVh1RFESC0FBQUEydnlYdURRGiUKCXRleHQvaHRtbBIYSWwgZmF1ZHJhaXQgYWpvdXRlciAzMDkuIiYKCnRleHQvcGxhaW4SGElsIGZhdWRyYWl0IGFqb3V0ZXIgMzA5LiobIhUxMDMzMDU2NTc3MDU0MzY4NjYyNTQoADgAMMSrudCeMTjEq7nQnjFKHwoKdGV4dC9wbGFpbhIRw6AgbOKAmWFydGljbGXCoDpaDGVuYzlvcGd6MWQ1ZXICIAB4AJoBBggAEAAYAKoBGhIYSWwgZmF1ZHJhaXQgYWpvdXRlciAzMDkusAEAuAEAGMSrudCeMSDEq7nQnjEwAEIQa2l4LjN5enRhYjhmMjR1OSL1AgoLQUFBQTJ4cWk4MDQSwwIKC0FBQUEyeHFpODA0EgtBQUFBMnhxaTgwNBo1Cgl0ZXh0L2h0bWwSKFZvaXIgY29tbWVudGFpcmUgcHLDqWPDqWRlbnQgw6AgY2Ugc3VqZXQiNgoKdGV4dC9wbGFpbhIoVm9pciBjb21tZW50YWlyZSBwcsOpY8OpZGVudCDDoCBjZSBzdWpldCobIhUxMDMzMDU2NTc3MDU0MzY4NjYyNTQoADgAMMz58/ueMTjM+fP7njFKPQoKdGV4dC9wbGFpbhIvRm9ybWF0aW9uIGVuIHNhbnTDqSBldCBlbiBzw6ljdXJpdMOpIGR1IHRyYXZhaWxaDHR0bXlxY2w4a2s5anICIAB4AJoBBggAEAAYAKoBKhIoVm9pciBjb21tZW50YWlyZSBwcsOpY8OpZGVudCDDoCBjZSBzdWpldLABALgBABjM+fP7njEgzPnz+54xMABCEGtpeC5uNXR1dHNlbDh5MmUi6AIKC0FBQUEyZVpDbUJBErYCCgtBQUFBMmVaQ21CQRILQUFBQTJlWkNtQkEaPwoJdGV4dC9odG1sEjJjaGFjdW5lIGQmIzM5O2VudHJlIGVsbGVzPyBvdSBjaGFjdW5lIGQmIzM5O2VsbGVzPyI4Cgp0ZXh0L3BsYWluEipjaGFjdW5lIGQnZW50cmUgZWxsZXM/IG91IGNoYWN1bmUgZCdlbGxlcz8qGyIVMTAzMzA1NjU3NzA1NDM2ODY2MjU0KAA4ADCztPzbnjE4s7T8254xShoKCnRleHQvcGxhaW4SDGRlIGNlbGxlcy1jaVoMeWR1cGh5aTJlc3JucgIgAHgAmgEGCAAQABgAqgE0EjJjaGFjdW5lIGQmIzM5O2VudHJlIGVsbGVzPyBvdSBjaGFjdW5lIGQmIzM5O2VsbGVzP7ABALgBABiztPzbnjEgs7T8254xMABCEGtpeC5zM2Z5a2JwODEzYXQizgUKC0FBQUEyZHVNb3pBEpwFCgtBQUFBMmR1TW96QRILQUFBQTJkdU1vekEalAEKCXRleHQvaHRtbBKGATJ4ICYjMzk7JiMzOTtyw6lkdWlyZSYjMzk7JiMzOTsuIENlIG4mIzM5O2VzdCBwYXMgb2JsaWdhdG9pcmUsIG1haXMgb24gcG91cnJhaXQgZW4gcmVtcGxhY2VyIHVuIGRlcyBkZXV4IHBhciB1biBzeW5vbnltZS4gRXguOiBsaW1pdGVyIoABCgp0ZXh0L3BsYWluEnIyeCAnJ3LDqWR1aXJlJycuIENlIG4nZXN0IHBhcyBvYmxpZ2F0b2lyZSwgbWFpcyBvbiBwb3VycmFpdCBlbiByZW1wbGFjZXIgdW4gZGVzIGRldXggcGFyIHVuIHN5bm9ueW1lLiBFeC46IGxpbWl0ZXIqGyIVMTAzMzA1NjU3NzA1NDM2ODY2MjU0KAA4ADDEucaBnzE4xLnGgZ8xSooBCgp0ZXh0L3BsYWluEnxyw6lkdWlyZSBs4oCZZXhwb3NpdGlvbiBkZXMgdHJhdmFpbGxldXNlcyBldCBkZXMgdHJhdmFpbGxldXJzIGF1eCByaXNxdWVzIGxpw6lzIGF1eCBpbnRlcnZlbnRpb25zIGVuIGVzcGFjZXMgY2xvczsgCnLDqWR1aXJlWgx2ZGozYXQ5dmwyeGdyAiAAeACaAQYIABAAGACqAYkBEoYBMnggJiMzOTsmIzM5O3LDqWR1aXJlJiMzOTsmIzM5Oy4gQ2UgbiYjMzk7ZXN0IHBhcyBvYmxpZ2F0b2lyZSwgbWFpcyBvbiBwb3VycmFpdCBlbiByZW1wbGFjZXIgdW4gZGVzIGRldXggcGFyIHVuIHN5bm9ueW1lLiBFeC46IGxpbWl0ZXKwAQC4AQAYxLnGgZ8xIMS5xoGfMTAAQhBraXgub283cjl2aG15ZHdiIqYGCgtBQUFBMmR1TW85YxL1BQoLQUFBQTJkdU1vOWMSC0FBQUEyZHVNbzljGtgBCgl0ZXh0L2h0bWwSygFJbCBmYXVkcmFpdCBhdXNzaSBtZW50aW9ubmVyICYjMzk7JiMzOTtsYSYjMzk7JiMzOTsgKGZlbW1lIGdlc3Rpb25uYWlyZSkgbWFpcyDDp2EgZGV2aWVudCB1biBwZXUgY29tcGxpcXXDqS4gSmUgcHJvcG9zZTogJiMzOTsmIzM5O2F2ZWMgbGEgb3UgbGVzIHBlcnNvbm5lcyBvY2N1cGFudCBsYSBmb25jdGlvbiBkZSBnZXN0aW9ubmFpcmUmIzM5OyYjMzk7IrkBCgp0ZXh0L3BsYWluEqoBSWwgZmF1ZHJhaXQgYXVzc2kgbWVudGlvbm5lciAnJ2xhJycgKGZlbW1lIGdlc3Rpb25uYWlyZSkgbWFpcyDDp2EgZGV2aWVudCB1biBwZXUgY29tcGxpcXXDqS4gSmUgcHJvcG9zZTogJydhdmVjIGxhIG91IGxlcyBwZXJzb25uZXMgb2NjdXBhbnQgbGEgZm9uY3Rpb24gZGUgZ2VzdGlvbm5haXJlJycqGyIVMTAzMzA1NjU3NzA1NDM2ODY2MjU0KAA4ADDAwveBnzE4wML3gZ8xSiMKCnRleHQvcGxhaW4SFWxlKHMpIGdlc3Rpb25uYWlyZShzKVoMb3U0YnJlNXBtbTZicgIgAHgAmgEGCAAQABgAqgHNARLKAUlsIGZhdWRyYWl0IGF1c3NpIG1lbnRpb25uZXIgJiMzOTsmIzM5O2xhJiMzOTsmIzM5OyAoZmVtbWUgZ2VzdGlvbm5haXJlKSBtYWlzIMOnYSBkZXZpZW50IHVuIHBldSBjb21wbGlxdcOpLiBKZSBwcm9wb3NlOiAmIzM5OyYjMzk7YXZlYyBsYSBvdSBsZXMgcGVyc29ubmVzIG9jY3VwYW50IGxhIGZvbmN0aW9uIGRlIGdlc3Rpb25uYWlyZSYjMzk7JiMzOTuwAQC4AQAYwML3gZ8xIMDC94GfMTAAQg9raXguemQwcnJjMXdscXUi9AUKC0FBQUEyeHFpODBrEsIFCgtBQUFBMnhxaTgwaxILQUFBQTJ4cWk4MGsa0AEKCXRleHQvaHRtbBLCAVN1Z2dlc3Rpb246ICYjMzk7JiMzOTtwZXJzb25uZXMtcmVzc291cmNlcyYjMzk7JiMzOTsgb3UgJiMzOTsmIzM5O3Jlc3NvdXJjZXMgaHVtYWluZXMmIzM5OyYjMzk7IChwb3VyIHF1JiMzOTtvbiBjb21wcmVubmUgZCYjMzk7ZW1ibMOpZSBxdSYjMzk7b24gbmUgcGFybGUgcGFzIGQmIzM5O3VuZSBhdXRyZSB0eXBlIGRlIHJlc3NvdXJjZSkuIqEBCgp0ZXh0L3BsYWluEpIBU3VnZ2VzdGlvbjogJydwZXJzb25uZXMtcmVzc291cmNlcycnIG91ICcncmVzc291cmNlcyBodW1haW5lcycnIChwb3VyIHF1J29uIGNvbXByZW5uZSBkJ2VtYmzDqWUgcXUnb24gbmUgcGFybGUgcGFzIGQndW5lIGF1dHJlIHR5cGUgZGUgcmVzc291cmNlKS4qGyIVMTAzMzA1NjU3NzA1NDM2ODY2MjU0KAA4ADCwsa77njE4sLGu+54xShgKCnRleHQvcGxhaW4SCnJlc3NvdXJjZXNaDDlvMG04MDN4aTV5dnICIAB4AJoBBggAEAAYAKoBxQESwgFTdWdnZXN0aW9uOiAmIzM5OyYjMzk7cGVyc29ubmVzLXJlc3NvdXJjZXMmIzM5OyYjMzk7IG91ICYjMzk7JiMzOTtyZXNzb3VyY2VzIGh1bWFpbmVzJiMzOTsmIzM5OyAocG91ciBxdSYjMzk7b24gY29tcHJlbm5lIGQmIzM5O2VtYmzDqWUgcXUmIzM5O29uIG5lIHBhcmxlIHBhcyBkJiMzOTt1bmUgYXV0cmUgdHlwZSBkZSByZXNzb3VyY2UpLrABALgBABiwsa77njEgsLGu+54xMABCEGtpeC43bDNpZWZybjA0NGki5gUKC0FBQUEyZVpDb24wErQFCgtBQUFBMmVaQ29uMBILQUFBQTJlWkNvbjAaxwEKCXRleHQvaHRtbBK5AUNlIG4mIzM5O2VzdCBwYXMgbGUgYm9uIHRpcmV0IG1haXMgamUgbiYjMzk7YXJyaXZlIHBhcyDDoCBsZSBtb2RpZmllciBtw6ptZSBlbiBmYWlzYW50IHVuICYjMzk7JiMzOTtjb3Bpw6ktY29sbMOpJiMzOTsmIzM5Oy4gQ2VsdWkgcXUmIzM5O29uIHV0aWxpc2UgaGFiaXR1ZWxsZW1lbnQgZXN0IHVuIHBldSBwbHVzIGxvbmcuIqwBCgp0ZXh0L3BsYWluEp0BQ2Ugbidlc3QgcGFzIGxlIGJvbiB0aXJldCBtYWlzIGplIG4nYXJyaXZlIHBhcyDDoCBsZSBtb2RpZmllciBtw6ptZSBlbiBmYWlzYW50IHVuICcnY29wacOpLWNvbGzDqScnLiBDZWx1aSBxdSdvbiB1dGlsaXNlIGhhYml0dWVsbGVtZW50IGVzdCB1biBwZXUgcGx1cyBsb25nLiobIhUxMDMzMDU2NTc3MDU0MzY4NjYyNTQoADgAMI+KmdyeMTiPipncnjFKEQoKdGV4dC9wbGFpbhID4oiSWgxwN2k0eHprZDVtNzJyAiAAeACaAQYIABAAGACqAbwBErkBQ2UgbiYjMzk7ZXN0IHBhcyBsZSBib24gdGlyZXQgbWFpcyBqZSBuJiMzOTthcnJpdmUgcGFzIMOgIGxlIG1vZGlmaWVyIG3Dqm1lIGVuIGZhaXNhbnQgdW4gJiMzOTsmIzM5O2NvcGnDqS1jb2xsw6kmIzM5OyYjMzk7LiBDZWx1aSBxdSYjMzk7b24gdXRpbGlzZSBoYWJpdHVlbGxlbWVudCBlc3QgdW4gcGV1IHBsdXMgbG9uZy6wAQC4AQAYj4qZ3J4xII+KmdyeMTAAQhBraXgueTlkMzhieXdkbnR4IqoCCgtBQUFBMnZ5WHVFZxL4AQoLQUFBQTJ2eVh1RWcSC0FBQUEydnlYdUVnGikKCXRleHQvaHRtbBIcbGnDqXMgYXV4PyAow6dhIHNvbm5lIG1pZXV4KSIqCgp0ZXh0L3BsYWluEhxsacOpcyBhdXg/ICjDp2Egc29ubmUgbWlldXgpKhsiFTEwMzMwNTY1NzcwNTQzNjg2NjI1NCgAOAAwooK00Z4xOJ25h4GfMUoWCgp0ZXh0L3BsYWluEghwb3VyIGxlc1oMajR1azZ2ODBnbHNicgIgAHgAmgEGCAAQABgAqgEeEhxsacOpcyBhdXg/ICjDp2Egc29ubmUgbWlldXgpsAEAuAEAGKKCtNGeMSCduYeBnzEwAEIQa2l4Lm5pOTZ1NDNuaWdyODIJaC4yZ3JxcnVlMghoLnZ4MTIyNzIJaC4zZndva3EwMgloLjF2MXl1eHQyCWguNGYxbWRsbTIJaC4ydTZ3bnRmMgloLjE5YzZ5MTgyCWguM3RidWdwMTIJaC4yOGg0cXd1MgloLjJzOGV5bzEyCGgubm1mMTRuMgloLjM3bTJqc2cyCWguMW1yY3UwOTIJaC40NnIwY28yMgloLjJsd2FtdnYyCWguMTExa3gzbzIJaC4zbDE4ZnJoMgloLjIwNmlwemEyCWguNGs2NjhuMzIJaC4yemJnaXV3MgloLjFlZ3F0MnAyCWguM3lnZWJxaTIJaC4yZGxvbHliMgloLjFjaTkzeGIyCGguc3F5dzY0MgloLjNjcW1ldHgyCWguMXJ2d3AxcTIJaC40YnZrN3BqMgloLjJyMHVoeGMyCWguMTY2NHM1NTIJaC4zcTVzYXN5MgloLjI1YjJsMHIyCGgua2djdjhrMgloLjM0ZzBkd2QyCWguMWpsYW80NjIJaC40M2t5NnJ6MgloLjJpcThnenMyCGgueHZpcjdsOAByITEzeHZ1RkZEMzJRZk1LWW5xZVhqa3VubGtJQy1ueDliMA==</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9616450-b413-431f-a8a1-28243f44d7f0" xsi:nil="true"/>
    <lcf76f155ced4ddcb4097134ff3c332f xmlns="97d2323f-5289-434f-ace3-b9fcfcc197b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7F3991144E4EC4FBB173CA9188960B2" ma:contentTypeVersion="18" ma:contentTypeDescription="Crée un document." ma:contentTypeScope="" ma:versionID="1109ca87b0418b918d5b34c4e641cadc">
  <xsd:schema xmlns:xsd="http://www.w3.org/2001/XMLSchema" xmlns:xs="http://www.w3.org/2001/XMLSchema" xmlns:p="http://schemas.microsoft.com/office/2006/metadata/properties" xmlns:ns2="97d2323f-5289-434f-ace3-b9fcfcc197b9" xmlns:ns3="49616450-b413-431f-a8a1-28243f44d7f0" targetNamespace="http://schemas.microsoft.com/office/2006/metadata/properties" ma:root="true" ma:fieldsID="9a1abf8edd2974f519e60f606fa31f2c" ns2:_="" ns3:_="">
    <xsd:import namespace="97d2323f-5289-434f-ace3-b9fcfcc197b9"/>
    <xsd:import namespace="49616450-b413-431f-a8a1-28243f44d7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d2323f-5289-434f-ace3-b9fcfcc197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Balises d’images" ma:readOnly="false" ma:fieldId="{5cf76f15-5ced-4ddc-b409-7134ff3c332f}" ma:taxonomyMulti="true" ma:sspId="f52cd7b0-b2da-475e-9a13-cbae3d9e7a96" ma:termSetId="09814cd3-568e-fe90-9814-8d621ff8fb84" ma:anchorId="fba54fb3-c3e1-fe81-a776-ca4b69148c4d" ma:open="true" ma:isKeyword="false">
      <xsd:complexType>
        <xsd:sequence>
          <xsd:element ref="pc:Terms" minOccurs="0" maxOccurs="1"/>
        </xsd:sequence>
      </xsd:complex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616450-b413-431f-a8a1-28243f44d7f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4b0179f-74dc-49c2-97d7-6c6e9c74d197}" ma:internalName="TaxCatchAll" ma:showField="CatchAllData" ma:web="49616450-b413-431f-a8a1-28243f44d7f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4D53C83-E204-4613-8237-06D0AAF679C8}">
  <ds:schemaRefs>
    <ds:schemaRef ds:uri="http://schemas.microsoft.com/sharepoint/v3/contenttype/forms"/>
  </ds:schemaRefs>
</ds:datastoreItem>
</file>

<file path=customXml/itemProps3.xml><?xml version="1.0" encoding="utf-8"?>
<ds:datastoreItem xmlns:ds="http://schemas.openxmlformats.org/officeDocument/2006/customXml" ds:itemID="{F1BED2C0-5741-4ED5-8924-18FADA0B6356}">
  <ds:schemaRefs>
    <ds:schemaRef ds:uri="http://schemas.microsoft.com/office/2006/metadata/properties"/>
    <ds:schemaRef ds:uri="http://schemas.microsoft.com/office/infopath/2007/PartnerControls"/>
    <ds:schemaRef ds:uri="49616450-b413-431f-a8a1-28243f44d7f0"/>
    <ds:schemaRef ds:uri="97d2323f-5289-434f-ace3-b9fcfcc197b9"/>
  </ds:schemaRefs>
</ds:datastoreItem>
</file>

<file path=customXml/itemProps4.xml><?xml version="1.0" encoding="utf-8"?>
<ds:datastoreItem xmlns:ds="http://schemas.openxmlformats.org/officeDocument/2006/customXml" ds:itemID="{B9B067E4-9459-4B4A-8147-63A9297DED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d2323f-5289-434f-ace3-b9fcfcc197b9"/>
    <ds:schemaRef ds:uri="49616450-b413-431f-a8a1-28243f44d7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9124</Words>
  <Characters>50185</Characters>
  <Application>Microsoft Office Word</Application>
  <DocSecurity>0</DocSecurity>
  <Lines>418</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Karine Charbonneau</dc:creator>
  <cp:lastModifiedBy>Johanie Cloutier-Demers</cp:lastModifiedBy>
  <cp:revision>16</cp:revision>
  <dcterms:created xsi:type="dcterms:W3CDTF">2023-08-24T19:56:00Z</dcterms:created>
  <dcterms:modified xsi:type="dcterms:W3CDTF">2026-01-06T18:54:00Z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0x010100C7F3991144E4EC4FBB173CA9188960B2</vt:lpwstr>
  </property>
  <property fmtid="{D5CDD505-2E9C-101B-9397-08002B2CF9AE}" pid="3" name="MediaServiceImageTags">
    <vt:lpwstr/>
  </property>
</Properties>
</file>